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0A8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-92075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73927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41C069C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65DDF88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5DCAACF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14:paraId="21D2E03C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ИРКУТСКАЯ ОБЛАСТЬ</w:t>
      </w:r>
    </w:p>
    <w:p w14:paraId="088CBBCF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14:paraId="6C95295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14:paraId="3CE05C0B">
      <w:pPr>
        <w:shd w:val="clear" w:color="auto" w:fill="FFFFFF"/>
        <w:jc w:val="center"/>
        <w:rPr>
          <w:sz w:val="28"/>
          <w:szCs w:val="28"/>
        </w:rPr>
      </w:pPr>
    </w:p>
    <w:p w14:paraId="52AA1212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14:paraId="0F5FC1DE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14:paraId="4A868266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14:paraId="2BF4F9B7">
      <w:pPr>
        <w:shd w:val="clear" w:color="auto" w:fill="FFFFFF"/>
        <w:spacing w:before="391"/>
        <w:ind w:left="1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18 июня 2024 г.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>
        <w:rPr>
          <w:rFonts w:hint="default"/>
          <w:sz w:val="28"/>
          <w:szCs w:val="28"/>
          <w:lang w:val="ru-RU"/>
        </w:rPr>
        <w:t>468</w:t>
      </w:r>
    </w:p>
    <w:p w14:paraId="0C90ECEB">
      <w:pPr>
        <w:pStyle w:val="15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14:paraId="36224620">
      <w:pPr>
        <w:pStyle w:val="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0162E0">
      <w:pPr>
        <w:pStyle w:val="18"/>
        <w:spacing w:line="240" w:lineRule="auto"/>
        <w:ind w:left="0"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27 декабря 2021 года №  123 «Об утверждении муниципальной  программы «Обеспечение первичных мер пожарной безопасности на территории Харайгунского муниципального образования» на 2022 – 2024 годы</w:t>
      </w:r>
    </w:p>
    <w:p w14:paraId="765BFA43">
      <w:pPr>
        <w:rPr>
          <w:sz w:val="28"/>
        </w:rPr>
      </w:pPr>
    </w:p>
    <w:p w14:paraId="6540873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 xml:space="preserve">руководствуясь Положением о бюджетном процессе в Харайгунском муниципальном образовании,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 xml:space="preserve"> решением Думы Харайгунского муниципального образования от 15 апреля 2016 года № 132, повышения эффективности проведения в 2022-2027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№123-ФЗ «Технический регламент о требованиях пожарной безопасности», руководствуясь Уставом Харайгунского муниципального образования, администрация Харайгунского муниципального образования:</w:t>
      </w:r>
    </w:p>
    <w:p w14:paraId="01625848">
      <w:pPr>
        <w:rPr>
          <w:sz w:val="28"/>
        </w:rPr>
      </w:pPr>
    </w:p>
    <w:p w14:paraId="675748EF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14:paraId="50859608">
      <w:pPr>
        <w:pStyle w:val="8"/>
        <w:jc w:val="both"/>
        <w:rPr>
          <w:sz w:val="28"/>
          <w:szCs w:val="24"/>
        </w:rPr>
      </w:pPr>
    </w:p>
    <w:p w14:paraId="7A057DF2">
      <w:pPr>
        <w:pStyle w:val="18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Внести в постановление администрации Харайгунского муниципального образования от 27 декабря 2021 года №  123 «Об утверждении муниципальной  программы «Обеспечение первичных мер пожарной безопасности на территории Харайгунского муниципального образования» на 2022 – 2024 годы, следующие изменения: </w:t>
      </w:r>
    </w:p>
    <w:p w14:paraId="638B7728">
      <w:pPr>
        <w:pStyle w:val="18"/>
        <w:numPr>
          <w:ilvl w:val="1"/>
          <w:numId w:val="1"/>
        </w:numPr>
        <w:spacing w:before="240"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14:paraId="25FF96C8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715"/>
      </w:tblGrid>
      <w:tr w14:paraId="0E54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pct"/>
          </w:tcPr>
          <w:p w14:paraId="762AEB5A">
            <w:pPr>
              <w:pStyle w:val="18"/>
              <w:spacing w:after="160" w:line="259" w:lineRule="auto"/>
              <w:ind w:left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14:paraId="038970F9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356,8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1B76C178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143,6 тыс. руб.</w:t>
            </w:r>
          </w:p>
          <w:p w14:paraId="3925D7C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123,3 тыс. руб.</w:t>
            </w:r>
          </w:p>
          <w:p w14:paraId="4C046B2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89,9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10BB63A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14:paraId="7446C2B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бюджета Харайгунского муниципального образования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356,8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48D84785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2022 – 143,6 тыс. руб.</w:t>
            </w:r>
          </w:p>
          <w:p w14:paraId="687819D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2023 – 123,3 тыс. руб.</w:t>
            </w:r>
          </w:p>
          <w:p w14:paraId="0D15CF6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89,9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6411B82D">
            <w:pPr>
              <w:pStyle w:val="25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  – 0,0  тыс. руб.,</w:t>
            </w:r>
          </w:p>
          <w:p w14:paraId="4550E4CE">
            <w:pPr>
              <w:pStyle w:val="25"/>
              <w:numPr>
                <w:ilvl w:val="0"/>
                <w:numId w:val="2"/>
              </w:num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за счёт других источников –  0,0  тыс. руб.</w:t>
            </w:r>
          </w:p>
        </w:tc>
      </w:tr>
    </w:tbl>
    <w:p w14:paraId="27413B1D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7B16D53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изложить в новой редакции: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640"/>
        <w:gridCol w:w="1640"/>
        <w:gridCol w:w="1640"/>
        <w:gridCol w:w="1640"/>
      </w:tblGrid>
      <w:tr w14:paraId="6C28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294038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Сроки реализации 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79E46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Всего по программе 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03A40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 год (тыс.руб)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3A206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 год (тыс.руб)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  <w:vAlign w:val="top"/>
          </w:tcPr>
          <w:p w14:paraId="1673AC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 год (тыс.руб)</w:t>
            </w:r>
          </w:p>
        </w:tc>
      </w:tr>
      <w:tr w14:paraId="7EAE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397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Общий объем финансирования, в т.ч.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FBA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356,8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1F4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143,6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B6A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123,3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A3B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89,9</w:t>
            </w:r>
          </w:p>
        </w:tc>
      </w:tr>
      <w:tr w14:paraId="45D0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B5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Федеральный бюджет 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FC9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B56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B7C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AA6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45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065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7B0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27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0B7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D09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15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E3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AD7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356,8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6F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143,6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2E5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123,3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228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89,9</w:t>
            </w:r>
          </w:p>
        </w:tc>
      </w:tr>
      <w:tr w14:paraId="04BE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634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Внебюджетные источники 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EA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D6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0DA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88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49E453BF">
      <w:pPr>
        <w:shd w:val="clear" w:color="auto" w:fill="FFFFFF"/>
        <w:jc w:val="both"/>
        <w:rPr>
          <w:sz w:val="28"/>
          <w:szCs w:val="28"/>
        </w:rPr>
      </w:pPr>
    </w:p>
    <w:p w14:paraId="6F8DDBBC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муниципальной программе «Обеспечение первичных мер пожарной безопасности на территории Харайгунского муниципального образования» на 2022-2024 годы изложить в новой редакции. (Приложение 1).</w:t>
      </w:r>
    </w:p>
    <w:p w14:paraId="6D3AF095">
      <w:pPr>
        <w:pStyle w:val="1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</w:p>
    <w:p w14:paraId="29B7C1EC">
      <w:pPr>
        <w:pStyle w:val="18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дня его официального опубликования.</w:t>
      </w:r>
    </w:p>
    <w:p w14:paraId="0E1D7473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50FB9BA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521FF505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41EA6BB4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199390</wp:posOffset>
            </wp:positionV>
            <wp:extent cx="1790700" cy="14954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612E14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7559DB6E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14:paraId="5D3455EF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14:paraId="35C41DE2">
      <w:pPr>
        <w:jc w:val="right"/>
        <w:rPr>
          <w:sz w:val="28"/>
        </w:rPr>
      </w:pPr>
    </w:p>
    <w:p w14:paraId="7838616A">
      <w:pPr>
        <w:jc w:val="right"/>
        <w:rPr>
          <w:sz w:val="28"/>
          <w:szCs w:val="28"/>
        </w:rPr>
      </w:pPr>
    </w:p>
    <w:p w14:paraId="6D173372">
      <w:pPr>
        <w:jc w:val="right"/>
        <w:rPr>
          <w:sz w:val="28"/>
          <w:szCs w:val="28"/>
        </w:rPr>
      </w:pPr>
    </w:p>
    <w:p w14:paraId="760F3CFD">
      <w:pPr>
        <w:jc w:val="right"/>
        <w:rPr>
          <w:sz w:val="28"/>
          <w:szCs w:val="28"/>
        </w:rPr>
      </w:pPr>
    </w:p>
    <w:p w14:paraId="4D7C3D0D">
      <w:pPr>
        <w:jc w:val="right"/>
        <w:rPr>
          <w:sz w:val="28"/>
          <w:szCs w:val="28"/>
        </w:rPr>
      </w:pPr>
    </w:p>
    <w:p w14:paraId="54A4C5ED">
      <w:pPr>
        <w:jc w:val="right"/>
        <w:rPr>
          <w:sz w:val="28"/>
          <w:szCs w:val="28"/>
        </w:rPr>
      </w:pPr>
    </w:p>
    <w:p w14:paraId="111C9857">
      <w:pPr>
        <w:jc w:val="right"/>
        <w:rPr>
          <w:sz w:val="28"/>
          <w:szCs w:val="28"/>
        </w:rPr>
      </w:pPr>
    </w:p>
    <w:p w14:paraId="4CC1CA18">
      <w:pPr>
        <w:jc w:val="right"/>
        <w:rPr>
          <w:sz w:val="28"/>
          <w:szCs w:val="28"/>
        </w:rPr>
      </w:pPr>
    </w:p>
    <w:p w14:paraId="1629EF1E">
      <w:pPr>
        <w:jc w:val="right"/>
        <w:rPr>
          <w:sz w:val="28"/>
          <w:szCs w:val="28"/>
        </w:rPr>
      </w:pPr>
    </w:p>
    <w:p w14:paraId="7245216D">
      <w:pPr>
        <w:jc w:val="right"/>
        <w:rPr>
          <w:sz w:val="28"/>
          <w:szCs w:val="28"/>
        </w:rPr>
      </w:pPr>
    </w:p>
    <w:p w14:paraId="3AC974AA">
      <w:pPr>
        <w:jc w:val="right"/>
        <w:rPr>
          <w:sz w:val="28"/>
          <w:szCs w:val="28"/>
        </w:rPr>
      </w:pPr>
    </w:p>
    <w:p w14:paraId="79E6CE03">
      <w:pPr>
        <w:jc w:val="right"/>
        <w:rPr>
          <w:sz w:val="28"/>
          <w:szCs w:val="28"/>
        </w:rPr>
      </w:pPr>
    </w:p>
    <w:p w14:paraId="4B95AA53">
      <w:pPr>
        <w:jc w:val="right"/>
        <w:rPr>
          <w:sz w:val="28"/>
          <w:szCs w:val="28"/>
        </w:rPr>
      </w:pPr>
    </w:p>
    <w:p w14:paraId="30F07139">
      <w:pPr>
        <w:jc w:val="right"/>
        <w:rPr>
          <w:sz w:val="28"/>
          <w:szCs w:val="28"/>
        </w:rPr>
      </w:pPr>
    </w:p>
    <w:p w14:paraId="7E52F83D">
      <w:pPr>
        <w:jc w:val="right"/>
        <w:rPr>
          <w:sz w:val="28"/>
          <w:szCs w:val="28"/>
        </w:rPr>
      </w:pPr>
    </w:p>
    <w:p w14:paraId="2A9584AC">
      <w:pPr>
        <w:jc w:val="right"/>
        <w:rPr>
          <w:sz w:val="28"/>
          <w:szCs w:val="28"/>
        </w:rPr>
      </w:pPr>
    </w:p>
    <w:p w14:paraId="2EDA0290">
      <w:pPr>
        <w:jc w:val="right"/>
        <w:rPr>
          <w:sz w:val="28"/>
          <w:szCs w:val="28"/>
        </w:rPr>
      </w:pPr>
    </w:p>
    <w:p w14:paraId="4813C048">
      <w:pPr>
        <w:jc w:val="right"/>
        <w:rPr>
          <w:sz w:val="28"/>
          <w:szCs w:val="28"/>
        </w:rPr>
      </w:pPr>
    </w:p>
    <w:p w14:paraId="772E6426">
      <w:pPr>
        <w:jc w:val="right"/>
        <w:rPr>
          <w:sz w:val="28"/>
          <w:szCs w:val="28"/>
        </w:rPr>
      </w:pPr>
    </w:p>
    <w:p w14:paraId="74D57F91">
      <w:pPr>
        <w:jc w:val="right"/>
        <w:rPr>
          <w:sz w:val="28"/>
          <w:szCs w:val="28"/>
        </w:rPr>
      </w:pPr>
    </w:p>
    <w:p w14:paraId="5951A6C1">
      <w:pPr>
        <w:jc w:val="right"/>
        <w:rPr>
          <w:sz w:val="28"/>
          <w:szCs w:val="28"/>
        </w:rPr>
      </w:pPr>
    </w:p>
    <w:p w14:paraId="0E87278E">
      <w:pPr>
        <w:jc w:val="right"/>
        <w:rPr>
          <w:sz w:val="28"/>
          <w:szCs w:val="28"/>
        </w:rPr>
      </w:pPr>
    </w:p>
    <w:p w14:paraId="54283196">
      <w:pPr>
        <w:jc w:val="right"/>
        <w:rPr>
          <w:sz w:val="28"/>
          <w:szCs w:val="28"/>
        </w:rPr>
      </w:pPr>
    </w:p>
    <w:p w14:paraId="1BE4ADD6">
      <w:pPr>
        <w:jc w:val="right"/>
        <w:rPr>
          <w:sz w:val="28"/>
          <w:szCs w:val="28"/>
        </w:rPr>
      </w:pPr>
    </w:p>
    <w:p w14:paraId="2727FBC1">
      <w:pPr>
        <w:jc w:val="right"/>
        <w:rPr>
          <w:sz w:val="28"/>
          <w:szCs w:val="28"/>
        </w:rPr>
      </w:pPr>
    </w:p>
    <w:p w14:paraId="684026E5">
      <w:pPr>
        <w:jc w:val="right"/>
        <w:rPr>
          <w:sz w:val="28"/>
          <w:szCs w:val="28"/>
        </w:rPr>
      </w:pPr>
    </w:p>
    <w:p w14:paraId="02E16C04">
      <w:pPr>
        <w:jc w:val="right"/>
        <w:rPr>
          <w:sz w:val="28"/>
          <w:szCs w:val="28"/>
        </w:rPr>
      </w:pPr>
    </w:p>
    <w:p w14:paraId="54302EDB">
      <w:pPr>
        <w:jc w:val="right"/>
        <w:rPr>
          <w:sz w:val="28"/>
          <w:szCs w:val="28"/>
        </w:rPr>
      </w:pPr>
    </w:p>
    <w:p w14:paraId="1B99DD13">
      <w:pPr>
        <w:jc w:val="right"/>
        <w:rPr>
          <w:sz w:val="28"/>
          <w:szCs w:val="28"/>
        </w:rPr>
      </w:pPr>
    </w:p>
    <w:p w14:paraId="38F8C66A">
      <w:pPr>
        <w:jc w:val="right"/>
        <w:rPr>
          <w:sz w:val="28"/>
          <w:szCs w:val="28"/>
        </w:rPr>
      </w:pPr>
    </w:p>
    <w:p w14:paraId="2B1A9A05">
      <w:pPr>
        <w:jc w:val="right"/>
        <w:rPr>
          <w:sz w:val="28"/>
          <w:szCs w:val="28"/>
        </w:rPr>
      </w:pPr>
    </w:p>
    <w:p w14:paraId="65A70B37">
      <w:pPr>
        <w:jc w:val="right"/>
        <w:rPr>
          <w:sz w:val="28"/>
          <w:szCs w:val="28"/>
        </w:rPr>
      </w:pPr>
    </w:p>
    <w:p w14:paraId="4D59E1B8">
      <w:pPr>
        <w:jc w:val="right"/>
        <w:rPr>
          <w:sz w:val="28"/>
          <w:szCs w:val="28"/>
        </w:rPr>
      </w:pPr>
    </w:p>
    <w:p w14:paraId="68726117">
      <w:pPr>
        <w:jc w:val="right"/>
        <w:rPr>
          <w:sz w:val="28"/>
          <w:szCs w:val="28"/>
        </w:rPr>
      </w:pPr>
    </w:p>
    <w:p w14:paraId="7F897239">
      <w:pPr>
        <w:jc w:val="right"/>
        <w:rPr>
          <w:sz w:val="28"/>
          <w:szCs w:val="28"/>
        </w:rPr>
      </w:pPr>
    </w:p>
    <w:p w14:paraId="115447BA">
      <w:pPr>
        <w:jc w:val="right"/>
        <w:rPr>
          <w:sz w:val="28"/>
          <w:szCs w:val="28"/>
        </w:rPr>
      </w:pPr>
    </w:p>
    <w:p w14:paraId="5215DC92">
      <w:pPr>
        <w:jc w:val="right"/>
        <w:rPr>
          <w:sz w:val="28"/>
          <w:szCs w:val="28"/>
        </w:rPr>
      </w:pPr>
    </w:p>
    <w:p w14:paraId="46B0E2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D6AFD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030668EC">
      <w:pPr>
        <w:jc w:val="right"/>
        <w:rPr>
          <w:sz w:val="28"/>
          <w:szCs w:val="28"/>
        </w:rPr>
      </w:pPr>
      <w:r>
        <w:rPr>
          <w:sz w:val="28"/>
          <w:szCs w:val="28"/>
        </w:rPr>
        <w:t>«Обеспечение первичных мер</w:t>
      </w:r>
    </w:p>
    <w:p w14:paraId="12CB64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пожарной безопасности </w:t>
      </w:r>
    </w:p>
    <w:p w14:paraId="7E95EA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Харайгунского </w:t>
      </w:r>
    </w:p>
    <w:p w14:paraId="230F86C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образования»</w:t>
      </w:r>
    </w:p>
    <w:p w14:paraId="01225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2022-2024 годы</w:t>
      </w:r>
    </w:p>
    <w:p w14:paraId="66534BA6">
      <w:pPr>
        <w:jc w:val="right"/>
        <w:rPr>
          <w:b/>
          <w:sz w:val="28"/>
          <w:szCs w:val="28"/>
        </w:rPr>
      </w:pPr>
    </w:p>
    <w:p w14:paraId="0372D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6024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муниципальной Программы</w:t>
      </w:r>
    </w:p>
    <w:p w14:paraId="0A135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первичных мер пожарной безопасности</w:t>
      </w:r>
    </w:p>
    <w:p w14:paraId="0F6EC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Харайгунского муниципального образования» </w:t>
      </w:r>
    </w:p>
    <w:p w14:paraId="1EAD32AB">
      <w:pPr>
        <w:jc w:val="center"/>
        <w:rPr>
          <w:b/>
        </w:rPr>
      </w:pPr>
      <w:r>
        <w:rPr>
          <w:b/>
          <w:sz w:val="28"/>
          <w:szCs w:val="28"/>
        </w:rPr>
        <w:t>на 2022-2024 годы</w:t>
      </w:r>
    </w:p>
    <w:p w14:paraId="2F58AC8D">
      <w:pPr>
        <w:jc w:val="center"/>
      </w:pPr>
    </w:p>
    <w:tbl>
      <w:tblPr>
        <w:tblStyle w:val="5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53"/>
        <w:gridCol w:w="3031"/>
        <w:gridCol w:w="1276"/>
        <w:gridCol w:w="1701"/>
        <w:gridCol w:w="850"/>
        <w:gridCol w:w="850"/>
        <w:gridCol w:w="567"/>
        <w:gridCol w:w="709"/>
      </w:tblGrid>
      <w:tr w14:paraId="4F2B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47" w:hRule="exact"/>
          <w:tblHeader/>
        </w:trPr>
        <w:tc>
          <w:tcPr>
            <w:tcW w:w="553" w:type="dxa"/>
            <w:vMerge w:val="restart"/>
            <w:shd w:val="clear" w:color="auto" w:fill="FFFFFF"/>
            <w:vAlign w:val="center"/>
          </w:tcPr>
          <w:p w14:paraId="75CB1440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п/п</w:t>
            </w:r>
          </w:p>
          <w:p w14:paraId="094D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A365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1" w:type="dxa"/>
            <w:vMerge w:val="restart"/>
            <w:shd w:val="clear" w:color="auto" w:fill="FFFFFF"/>
            <w:vAlign w:val="center"/>
          </w:tcPr>
          <w:p w14:paraId="035D8CA2">
            <w:pPr>
              <w:shd w:val="clear" w:color="auto" w:fill="FFFFFF"/>
              <w:ind w:hanging="15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61A085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Срок 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8129335">
            <w:pPr>
              <w:shd w:val="clear" w:color="auto" w:fill="FFFFFF"/>
              <w:ind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14:paraId="7DE71502">
            <w:pPr>
              <w:shd w:val="clear" w:color="auto" w:fill="FFFFFF"/>
              <w:ind w:hanging="16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Объем финансирования (тыс. 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руб.),</w:t>
            </w:r>
          </w:p>
        </w:tc>
      </w:tr>
      <w:tr w14:paraId="5435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1" w:hRule="exact"/>
          <w:tblHeader/>
        </w:trPr>
        <w:tc>
          <w:tcPr>
            <w:tcW w:w="553" w:type="dxa"/>
            <w:vMerge w:val="continue"/>
            <w:shd w:val="clear" w:color="auto" w:fill="FFFFFF"/>
          </w:tcPr>
          <w:p w14:paraId="13CB0B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1" w:type="dxa"/>
            <w:vMerge w:val="continue"/>
            <w:shd w:val="clear" w:color="auto" w:fill="FFFFFF"/>
            <w:vAlign w:val="center"/>
          </w:tcPr>
          <w:p w14:paraId="31F073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29732592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 w14:paraId="1D6C086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8EDA41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2B41F2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9861F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2BBD2F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2024</w:t>
            </w:r>
          </w:p>
        </w:tc>
      </w:tr>
      <w:tr w14:paraId="6520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34" w:hRule="exact"/>
        </w:trPr>
        <w:tc>
          <w:tcPr>
            <w:tcW w:w="553" w:type="dxa"/>
            <w:shd w:val="clear" w:color="auto" w:fill="FFFFFF"/>
          </w:tcPr>
          <w:p w14:paraId="14E52F2B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31" w:type="dxa"/>
            <w:shd w:val="clear" w:color="auto" w:fill="FFFFFF"/>
          </w:tcPr>
          <w:p w14:paraId="73D9DDF4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Гидравлическое испытание пожарных гидрантов </w:t>
            </w:r>
          </w:p>
        </w:tc>
        <w:tc>
          <w:tcPr>
            <w:tcW w:w="1276" w:type="dxa"/>
            <w:shd w:val="clear" w:color="auto" w:fill="FFFFFF"/>
          </w:tcPr>
          <w:p w14:paraId="0A5A029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2 раза год.</w:t>
            </w:r>
          </w:p>
        </w:tc>
        <w:tc>
          <w:tcPr>
            <w:tcW w:w="1701" w:type="dxa"/>
            <w:shd w:val="clear" w:color="auto" w:fill="FFFFFF"/>
          </w:tcPr>
          <w:p w14:paraId="304CDC4D">
            <w:pPr>
              <w:shd w:val="clear" w:color="auto" w:fill="FFFFFF"/>
              <w:ind w:hanging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Харайгунского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муниципального образования </w:t>
            </w:r>
          </w:p>
          <w:p w14:paraId="5796866C">
            <w:pPr>
              <w:shd w:val="clear" w:color="auto" w:fill="FFFFFF"/>
              <w:ind w:hanging="1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1593F0E">
            <w:pPr>
              <w:shd w:val="clear" w:color="auto" w:fill="FFFFFF"/>
              <w:jc w:val="center"/>
              <w:rPr>
                <w:rFonts w:hint="default" w:eastAsia="Calibri"/>
                <w:spacing w:val="-4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pacing w:val="-4"/>
                <w:sz w:val="22"/>
                <w:szCs w:val="22"/>
                <w:lang w:val="ru-RU" w:eastAsia="en-US"/>
              </w:rPr>
              <w:t>34,0</w:t>
            </w:r>
          </w:p>
        </w:tc>
        <w:tc>
          <w:tcPr>
            <w:tcW w:w="850" w:type="dxa"/>
            <w:shd w:val="clear" w:color="auto" w:fill="FFFFFF"/>
          </w:tcPr>
          <w:p w14:paraId="27059926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567" w:type="dxa"/>
            <w:shd w:val="clear" w:color="auto" w:fill="FFFFFF"/>
          </w:tcPr>
          <w:p w14:paraId="06E2C1C3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14:paraId="2BD2E3A1">
            <w:pPr>
              <w:shd w:val="clear" w:color="auto" w:fill="FFFFFF"/>
              <w:jc w:val="center"/>
              <w:rPr>
                <w:rFonts w:hint="default" w:eastAsia="Calibri"/>
                <w:spacing w:val="-6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pacing w:val="-6"/>
                <w:sz w:val="22"/>
                <w:szCs w:val="22"/>
                <w:lang w:val="ru-RU" w:eastAsia="en-US"/>
              </w:rPr>
              <w:t>21,0</w:t>
            </w:r>
          </w:p>
        </w:tc>
      </w:tr>
      <w:tr w14:paraId="0C15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3" w:hRule="exact"/>
        </w:trPr>
        <w:tc>
          <w:tcPr>
            <w:tcW w:w="553" w:type="dxa"/>
            <w:shd w:val="clear" w:color="auto" w:fill="FFFFFF"/>
          </w:tcPr>
          <w:p w14:paraId="48E1B078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31" w:type="dxa"/>
            <w:shd w:val="clear" w:color="auto" w:fill="FFFFFF"/>
          </w:tcPr>
          <w:p w14:paraId="0D75DBE9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Техническое обслуживание звукового оповещения </w:t>
            </w:r>
          </w:p>
        </w:tc>
        <w:tc>
          <w:tcPr>
            <w:tcW w:w="1276" w:type="dxa"/>
            <w:shd w:val="clear" w:color="auto" w:fill="FFFFFF"/>
          </w:tcPr>
          <w:p w14:paraId="684177A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Апрель- май </w:t>
            </w:r>
          </w:p>
        </w:tc>
        <w:tc>
          <w:tcPr>
            <w:tcW w:w="1701" w:type="dxa"/>
            <w:shd w:val="clear" w:color="auto" w:fill="FFFFFF"/>
          </w:tcPr>
          <w:p w14:paraId="39D85F17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ВДПО</w:t>
            </w:r>
          </w:p>
        </w:tc>
        <w:tc>
          <w:tcPr>
            <w:tcW w:w="850" w:type="dxa"/>
            <w:shd w:val="clear" w:color="auto" w:fill="FFFFFF"/>
          </w:tcPr>
          <w:p w14:paraId="02579523">
            <w:pPr>
              <w:shd w:val="clear" w:color="auto" w:fill="FFFFFF"/>
              <w:jc w:val="center"/>
              <w:rPr>
                <w:rFonts w:hint="default" w:eastAsia="Calibri"/>
                <w:spacing w:val="-4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pacing w:val="-4"/>
                <w:sz w:val="22"/>
                <w:szCs w:val="22"/>
                <w:lang w:val="ru-RU" w:eastAsia="en-US"/>
              </w:rPr>
              <w:t>273,1</w:t>
            </w:r>
          </w:p>
        </w:tc>
        <w:tc>
          <w:tcPr>
            <w:tcW w:w="850" w:type="dxa"/>
            <w:shd w:val="clear" w:color="auto" w:fill="FFFFFF"/>
          </w:tcPr>
          <w:p w14:paraId="16446354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95,6</w:t>
            </w:r>
          </w:p>
        </w:tc>
        <w:tc>
          <w:tcPr>
            <w:tcW w:w="567" w:type="dxa"/>
            <w:shd w:val="clear" w:color="auto" w:fill="FFFFFF"/>
          </w:tcPr>
          <w:p w14:paraId="726E73C7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108,6</w:t>
            </w:r>
          </w:p>
        </w:tc>
        <w:tc>
          <w:tcPr>
            <w:tcW w:w="709" w:type="dxa"/>
            <w:shd w:val="clear" w:color="auto" w:fill="FFFFFF"/>
          </w:tcPr>
          <w:p w14:paraId="41B47C3C">
            <w:pPr>
              <w:shd w:val="clear" w:color="auto" w:fill="FFFFFF"/>
              <w:jc w:val="center"/>
              <w:rPr>
                <w:rFonts w:hint="default" w:eastAsia="Calibri"/>
                <w:spacing w:val="-6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pacing w:val="-6"/>
                <w:sz w:val="22"/>
                <w:szCs w:val="22"/>
                <w:lang w:val="ru-RU" w:eastAsia="en-US"/>
              </w:rPr>
              <w:t>68,9</w:t>
            </w:r>
          </w:p>
        </w:tc>
      </w:tr>
      <w:tr w14:paraId="5728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88" w:hRule="exact"/>
        </w:trPr>
        <w:tc>
          <w:tcPr>
            <w:tcW w:w="553" w:type="dxa"/>
            <w:shd w:val="clear" w:color="auto" w:fill="FFFFFF"/>
          </w:tcPr>
          <w:p w14:paraId="2BFD71E6">
            <w:pPr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31" w:type="dxa"/>
            <w:shd w:val="clear" w:color="auto" w:fill="FFFFFF"/>
          </w:tcPr>
          <w:p w14:paraId="035BA504">
            <w:pPr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14:paraId="1966E340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Весь период </w:t>
            </w:r>
          </w:p>
        </w:tc>
        <w:tc>
          <w:tcPr>
            <w:tcW w:w="1701" w:type="dxa"/>
            <w:shd w:val="clear" w:color="auto" w:fill="FFFFFF"/>
          </w:tcPr>
          <w:p w14:paraId="36D87119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Харайгунского муниципального образования </w:t>
            </w:r>
          </w:p>
        </w:tc>
        <w:tc>
          <w:tcPr>
            <w:tcW w:w="850" w:type="dxa"/>
            <w:shd w:val="clear" w:color="auto" w:fill="FFFFFF"/>
          </w:tcPr>
          <w:p w14:paraId="4AFE1FA3">
            <w:pPr>
              <w:shd w:val="clear" w:color="auto" w:fill="FFFFFF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49,7</w:t>
            </w:r>
          </w:p>
        </w:tc>
        <w:tc>
          <w:tcPr>
            <w:tcW w:w="850" w:type="dxa"/>
            <w:shd w:val="clear" w:color="auto" w:fill="FFFFFF"/>
          </w:tcPr>
          <w:p w14:paraId="6F20EAE5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567" w:type="dxa"/>
            <w:shd w:val="clear" w:color="auto" w:fill="FFFFFF"/>
          </w:tcPr>
          <w:p w14:paraId="44C11E34">
            <w:pPr>
              <w:shd w:val="clear" w:color="auto" w:fill="FFFFFF"/>
              <w:jc w:val="center"/>
              <w:rPr>
                <w:rFonts w:eastAsia="Calibri"/>
                <w:spacing w:val="-7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7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709" w:type="dxa"/>
            <w:shd w:val="clear" w:color="auto" w:fill="FFFFFF"/>
          </w:tcPr>
          <w:p w14:paraId="341CF907">
            <w:pPr>
              <w:shd w:val="clear" w:color="auto" w:fill="FFFFFF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0,0</w:t>
            </w:r>
          </w:p>
        </w:tc>
      </w:tr>
    </w:tbl>
    <w:p w14:paraId="767601AE">
      <w:pPr>
        <w:jc w:val="both"/>
      </w:pPr>
    </w:p>
    <w:p w14:paraId="7714BE99">
      <w:pPr>
        <w:jc w:val="center"/>
        <w:rPr>
          <w:sz w:val="28"/>
          <w:szCs w:val="28"/>
        </w:rPr>
      </w:pPr>
    </w:p>
    <w:sectPr>
      <w:pgSz w:w="11906" w:h="16838"/>
      <w:pgMar w:top="709" w:right="991" w:bottom="769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D513D"/>
    <w:multiLevelType w:val="multilevel"/>
    <w:tmpl w:val="0A0D513D"/>
    <w:lvl w:ilvl="0" w:tentative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C3F299C"/>
    <w:multiLevelType w:val="multilevel"/>
    <w:tmpl w:val="2C3F29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A1626A"/>
    <w:multiLevelType w:val="multilevel"/>
    <w:tmpl w:val="51A1626A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35A1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03B9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81F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B67DA"/>
    <w:rsid w:val="00AC0BD0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26068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73E31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296C1C08"/>
    <w:rsid w:val="32E463B3"/>
    <w:rsid w:val="351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uiPriority w:val="0"/>
    <w:rPr>
      <w:szCs w:val="20"/>
    </w:rPr>
  </w:style>
  <w:style w:type="paragraph" w:styleId="9">
    <w:name w:val="header"/>
    <w:basedOn w:val="1"/>
    <w:link w:val="16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19"/>
    <w:unhideWhenUsed/>
    <w:qFormat/>
    <w:uiPriority w:val="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20"/>
    <w:qFormat/>
    <w:uiPriority w:val="0"/>
    <w:pPr>
      <w:jc w:val="center"/>
    </w:pPr>
    <w:rPr>
      <w:b/>
      <w:bCs/>
      <w:sz w:val="28"/>
    </w:rPr>
  </w:style>
  <w:style w:type="paragraph" w:styleId="12">
    <w:name w:val="footer"/>
    <w:basedOn w:val="1"/>
    <w:link w:val="17"/>
    <w:unhideWhenUsed/>
    <w:qFormat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Normal (Web)"/>
    <w:basedOn w:val="1"/>
    <w:qFormat/>
    <w:uiPriority w:val="99"/>
    <w:pPr>
      <w:spacing w:before="45" w:after="119"/>
    </w:pPr>
  </w:style>
  <w:style w:type="table" w:styleId="14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6">
    <w:name w:val="Верхний колонтитул Знак"/>
    <w:basedOn w:val="4"/>
    <w:link w:val="9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17">
    <w:name w:val="Нижний колонтитул Знак"/>
    <w:basedOn w:val="4"/>
    <w:link w:val="12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Знак"/>
    <w:basedOn w:val="4"/>
    <w:link w:val="10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20">
    <w:name w:val="Название Знак"/>
    <w:basedOn w:val="4"/>
    <w:link w:val="11"/>
    <w:qFormat/>
    <w:uiPriority w:val="0"/>
    <w:rPr>
      <w:b/>
      <w:bCs/>
      <w:sz w:val="28"/>
      <w:szCs w:val="24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2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paragraph" w:customStyle="1" w:styleId="23">
    <w:name w:val="ConsPlusNormal"/>
    <w:link w:val="24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ConsPlusNormal Знак"/>
    <w:basedOn w:val="4"/>
    <w:link w:val="23"/>
    <w:qFormat/>
    <w:locked/>
    <w:uiPriority w:val="99"/>
    <w:rPr>
      <w:sz w:val="28"/>
      <w:szCs w:val="28"/>
    </w:rPr>
  </w:style>
  <w:style w:type="paragraph" w:customStyle="1" w:styleId="2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531</Words>
  <Characters>3531</Characters>
  <Lines>31</Lines>
  <Paragraphs>8</Paragraphs>
  <TotalTime>104</TotalTime>
  <ScaleCrop>false</ScaleCrop>
  <LinksUpToDate>false</LinksUpToDate>
  <CharactersWithSpaces>4122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2023-12-28T04:57:00Z</dcterms:created>
  <dc:creator>Goshenko_S</dc:creator>
  <cp:lastModifiedBy>Пользователь</cp:lastModifiedBy>
  <cp:lastPrinted>2024-06-18T03:54:00Z</cp:lastPrinted>
  <dcterms:modified xsi:type="dcterms:W3CDTF">2024-06-18T07:51:50Z</dcterms:modified>
  <dc:title>Российская Федерация ИРКУТСКАЯ ОБЛАСТЬ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A502A19FB31B4388ADC80D3DEC980316_13</vt:lpwstr>
  </property>
</Properties>
</file>