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1"/>
        <w:jc w:val="center"/>
        <w:rPr>
          <w:szCs w:val="28"/>
        </w:rPr>
      </w:pPr>
      <w:r>
        <w:rPr>
          <w:szCs w:val="28"/>
        </w:rPr>
        <w:t>РОССИЙСКАЯ ФЕДЕРАЦИЯ</w:t>
      </w:r>
    </w:p>
    <w:p>
      <w:pPr>
        <w:pStyle w:val="21"/>
        <w:jc w:val="center"/>
        <w:rPr>
          <w:szCs w:val="28"/>
        </w:rPr>
      </w:pPr>
      <w:r>
        <w:rPr>
          <w:szCs w:val="28"/>
        </w:rPr>
        <w:t>ИРКУТСКАЯ ОБЛАСТЬ</w:t>
      </w:r>
    </w:p>
    <w:p>
      <w:pPr>
        <w:pStyle w:val="21"/>
        <w:jc w:val="center"/>
        <w:rPr>
          <w:szCs w:val="28"/>
        </w:rPr>
      </w:pPr>
      <w:r>
        <w:rPr>
          <w:szCs w:val="28"/>
        </w:rPr>
        <w:t>Администрация</w:t>
      </w:r>
    </w:p>
    <w:p>
      <w:pPr>
        <w:pStyle w:val="21"/>
        <w:jc w:val="center"/>
        <w:rPr>
          <w:b/>
          <w:szCs w:val="28"/>
        </w:rPr>
      </w:pPr>
      <w:r>
        <w:rPr>
          <w:szCs w:val="28"/>
        </w:rPr>
        <w:t>Харайгунского муниципального образования</w:t>
      </w:r>
    </w:p>
    <w:p>
      <w:pPr>
        <w:pStyle w:val="21"/>
        <w:tabs>
          <w:tab w:val="left" w:pos="672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>
      <w:pPr>
        <w:pStyle w:val="21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 О С Т А Н О В Л Е Н И Е</w:t>
      </w:r>
    </w:p>
    <w:p>
      <w:pPr>
        <w:pStyle w:val="21"/>
        <w:jc w:val="center"/>
        <w:rPr>
          <w:sz w:val="32"/>
          <w:szCs w:val="32"/>
        </w:rPr>
      </w:pPr>
    </w:p>
    <w:p>
      <w:pPr>
        <w:pStyle w:val="21"/>
        <w:jc w:val="center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от 19 мая 2023 г.                           с. Харайгун                                   № 102</w:t>
      </w:r>
    </w:p>
    <w:p>
      <w:pPr>
        <w:rPr>
          <w:sz w:val="20"/>
          <w:szCs w:val="20"/>
        </w:rPr>
      </w:pPr>
    </w:p>
    <w:p>
      <w:pPr>
        <w:pStyle w:val="15"/>
        <w:tabs>
          <w:tab w:val="left" w:pos="567"/>
          <w:tab w:val="left" w:pos="1843"/>
        </w:tabs>
        <w:autoSpaceDE/>
        <w:adjustRightInd/>
        <w:jc w:val="left"/>
        <w:rPr>
          <w:sz w:val="24"/>
          <w:szCs w:val="24"/>
        </w:rPr>
      </w:pPr>
      <w:r>
        <w:rPr>
          <w:sz w:val="24"/>
          <w:szCs w:val="24"/>
        </w:rPr>
        <w:t>Об утверждении муниципальной программы</w:t>
      </w:r>
    </w:p>
    <w:p>
      <w:pPr>
        <w:pStyle w:val="21"/>
        <w:rPr>
          <w:szCs w:val="28"/>
        </w:rPr>
      </w:pPr>
      <w:r>
        <w:rPr>
          <w:szCs w:val="28"/>
        </w:rPr>
        <w:t>«Развитие физической культуры и спорта в</w:t>
      </w:r>
    </w:p>
    <w:p>
      <w:pPr>
        <w:pStyle w:val="21"/>
        <w:rPr>
          <w:szCs w:val="28"/>
        </w:rPr>
      </w:pPr>
      <w:r>
        <w:rPr>
          <w:szCs w:val="28"/>
        </w:rPr>
        <w:t>Харайгунском муниципальном образовании»</w:t>
      </w:r>
    </w:p>
    <w:p>
      <w:pPr>
        <w:pStyle w:val="21"/>
        <w:rPr>
          <w:sz w:val="28"/>
          <w:szCs w:val="28"/>
        </w:rPr>
      </w:pPr>
    </w:p>
    <w:p>
      <w:pPr>
        <w:pStyle w:val="21"/>
        <w:jc w:val="both"/>
      </w:pPr>
      <w:r>
        <w:t xml:space="preserve">           Руководствуясь ст. 14 Федерального закона от 6 октября 2003 г. № 131-ФЗ «Об общих принципах организации местного самоуправления в Российской Федерации» и в соответствие с Федеральным законом «О физической культуре и спорте в Российской Федерации» от 4 декабря 2007 г. № 329-ФЗ, ст. 179 </w:t>
      </w:r>
      <w:r>
        <w:fldChar w:fldCharType="begin"/>
      </w:r>
      <w:r>
        <w:instrText xml:space="preserve"> HYPERLINK "https://www.consultant.ru/document/cons_doc_LAW_19702/" </w:instrText>
      </w:r>
      <w:r>
        <w:fldChar w:fldCharType="separate"/>
      </w:r>
      <w:r>
        <w:t>Бюджетного кодекса Российской Федерации</w:t>
      </w:r>
      <w:r>
        <w:fldChar w:fldCharType="end"/>
      </w:r>
      <w:r>
        <w:t>,  ст. 6, ст. 7, ст. 23, ст. 46 Устава Харайгунского муниципального образования Зиминского района, Положением о порядке принятия решений о разработке, формированию, утверждению, реализации и оценки эффективности муниципальных программ Харайгунского муниципального образования, утвержденного постановлением от 1 декабря 2020 г. № 116, администрация  Харайгунского муниципального образования</w:t>
      </w:r>
    </w:p>
    <w:p>
      <w:pPr>
        <w:pStyle w:val="21"/>
        <w:rPr>
          <w:sz w:val="28"/>
          <w:szCs w:val="28"/>
        </w:rPr>
      </w:pPr>
    </w:p>
    <w:p>
      <w:pPr>
        <w:jc w:val="center"/>
        <w:outlineLvl w:val="0"/>
        <w:rPr>
          <w:b/>
        </w:rPr>
      </w:pPr>
      <w:r>
        <w:rPr>
          <w:b/>
        </w:rPr>
        <w:t>ПОСТАНОВЛЯЕТ:</w:t>
      </w:r>
    </w:p>
    <w:p>
      <w:pPr>
        <w:jc w:val="center"/>
        <w:outlineLvl w:val="0"/>
        <w:rPr>
          <w:b/>
        </w:rPr>
      </w:pPr>
    </w:p>
    <w:p>
      <w:pPr>
        <w:pStyle w:val="21"/>
        <w:numPr>
          <w:ilvl w:val="0"/>
          <w:numId w:val="2"/>
        </w:numPr>
        <w:tabs>
          <w:tab w:val="left" w:pos="993"/>
        </w:tabs>
        <w:ind w:left="0" w:firstLine="709"/>
        <w:jc w:val="both"/>
      </w:pPr>
      <w:r>
        <w:t>Утвердить на 2024-2026 годы муниципальную программу Харайгунского муниципального образования «Развитие физической культуры и спорта в Харайгунском муниципальном образовании» (Приложение).</w:t>
      </w:r>
    </w:p>
    <w:p>
      <w:pPr>
        <w:pStyle w:val="3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Финансовому управлению предусмотреть финансовые средства для реализации мероприятий программы.</w:t>
      </w:r>
    </w:p>
    <w:p>
      <w:pPr>
        <w:pStyle w:val="3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Настоящее постановление опубликовать в периодическом печатном издании «Вестник Харайгунского муниципального образования» и разместить на официальном сайте администрации Харайгунского муниципального образования харайгун.рф.</w:t>
      </w:r>
    </w:p>
    <w:p>
      <w:pPr>
        <w:pStyle w:val="3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Настоящее постановление вступает в силу со дня его официального опубликования.</w:t>
      </w:r>
    </w:p>
    <w:p>
      <w:pPr>
        <w:pStyle w:val="3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Муниципальная программа начинает действовать с 1 января 2024 г.</w:t>
      </w:r>
    </w:p>
    <w:p>
      <w:pPr>
        <w:pStyle w:val="37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rPr>
          <w:szCs w:val="24"/>
        </w:rPr>
      </w:pPr>
      <w:r>
        <w:rPr>
          <w:szCs w:val="24"/>
        </w:rPr>
        <w:t>Контроль за исполнением настоящего постановления оставляю за собой.</w:t>
      </w:r>
    </w:p>
    <w:p/>
    <w:p/>
    <w:p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2413635</wp:posOffset>
            </wp:positionH>
            <wp:positionV relativeFrom="paragraph">
              <wp:posOffset>149860</wp:posOffset>
            </wp:positionV>
            <wp:extent cx="1793875" cy="149479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3847" cy="149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/>
    <w:p>
      <w:pPr>
        <w:rPr>
          <w:b/>
        </w:rPr>
      </w:pPr>
      <w:r>
        <w:rPr>
          <w:b/>
        </w:rPr>
        <w:t>Глава Харайгунского</w:t>
      </w:r>
    </w:p>
    <w:p>
      <w:pPr>
        <w:shd w:val="clear" w:color="auto" w:fill="FFFFFF"/>
        <w:rPr>
          <w:sz w:val="28"/>
          <w:szCs w:val="28"/>
          <w:lang w:eastAsia="zh-CN"/>
        </w:rPr>
      </w:pPr>
      <w:r>
        <w:rPr>
          <w:b/>
        </w:rPr>
        <w:t>муниципального образования                                                                   Л.Н. Синицына</w:t>
      </w:r>
      <w:r>
        <w:rPr>
          <w:sz w:val="28"/>
          <w:szCs w:val="28"/>
          <w:lang w:eastAsia="zh-CN"/>
        </w:rPr>
        <w:t xml:space="preserve"> </w:t>
      </w:r>
    </w:p>
    <w:p>
      <w:pPr>
        <w:pStyle w:val="21"/>
        <w:rPr>
          <w:sz w:val="22"/>
          <w:szCs w:val="22"/>
        </w:rPr>
        <w:sectPr>
          <w:pgSz w:w="11905" w:h="16838"/>
          <w:pgMar w:top="1134" w:right="850" w:bottom="1134" w:left="1701" w:header="340" w:footer="57" w:gutter="0"/>
          <w:cols w:space="720" w:num="1"/>
          <w:titlePg/>
          <w:docGrid w:linePitch="326" w:charSpace="0"/>
        </w:sectPr>
      </w:pPr>
    </w:p>
    <w:p>
      <w:pPr>
        <w:pStyle w:val="21"/>
        <w:jc w:val="right"/>
      </w:pPr>
      <w:r>
        <w:t xml:space="preserve">УТВЕРЖДЕНА </w:t>
      </w:r>
    </w:p>
    <w:p>
      <w:pPr>
        <w:pStyle w:val="21"/>
        <w:jc w:val="right"/>
      </w:pPr>
      <w:r>
        <w:t xml:space="preserve">постановлением администрации </w:t>
      </w:r>
    </w:p>
    <w:p>
      <w:pPr>
        <w:pStyle w:val="21"/>
        <w:jc w:val="right"/>
      </w:pPr>
      <w:r>
        <w:t>Харайгунского муниципального образования</w:t>
      </w:r>
    </w:p>
    <w:p>
      <w:pPr>
        <w:pStyle w:val="21"/>
        <w:jc w:val="right"/>
        <w:rPr>
          <w:u w:val="single"/>
        </w:rPr>
      </w:pPr>
      <w:r>
        <w:t>от 19.05.2023 № 102</w:t>
      </w:r>
    </w:p>
    <w:p>
      <w:pPr>
        <w:pStyle w:val="21"/>
        <w:rPr>
          <w:b/>
          <w:sz w:val="32"/>
          <w:szCs w:val="32"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rPr>
          <w:b/>
        </w:rPr>
      </w:pPr>
    </w:p>
    <w:p>
      <w:pPr>
        <w:pStyle w:val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</w:t>
      </w: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«РАЗВИТИЕ ФИЗИЧЕСКОЙ КУЛЬТУРЫ И СПОРТА </w:t>
      </w:r>
    </w:p>
    <w:p>
      <w:pPr>
        <w:pStyle w:val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ХАРАЙГУНСКОМ МУНИЦИПАЛЬНОМ ОБРАЗОВАНИИ» </w:t>
      </w:r>
    </w:p>
    <w:p>
      <w:pPr>
        <w:pStyle w:val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(2024 – 2026)</w:t>
      </w: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jc w:val="center"/>
        <w:rPr>
          <w:sz w:val="28"/>
          <w:szCs w:val="28"/>
        </w:rPr>
      </w:pPr>
      <w:r>
        <w:rPr>
          <w:sz w:val="28"/>
          <w:szCs w:val="28"/>
        </w:rPr>
        <w:t>с. Харайгун – 2023</w:t>
      </w: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ПАСПОРТ МУНИЦИПАЛЬНОЙ ПРОГРАММЫ</w:t>
      </w:r>
    </w:p>
    <w:tbl>
      <w:tblPr>
        <w:tblStyle w:val="12"/>
        <w:tblpPr w:leftFromText="180" w:rightFromText="180" w:vertAnchor="text" w:horzAnchor="margin" w:tblpX="-601" w:tblpY="153"/>
        <w:tblW w:w="10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7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2977" w:type="dxa"/>
          </w:tcPr>
          <w:p>
            <w:pPr>
              <w:pStyle w:val="21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Наименование  муниципальной программы</w:t>
            </w:r>
          </w:p>
          <w:p>
            <w:pPr>
              <w:pStyle w:val="21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физической культуры и спорта в</w:t>
            </w:r>
          </w:p>
          <w:p>
            <w:pPr>
              <w:pStyle w:val="21"/>
              <w:jc w:val="both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Харайгунском муниципальном образовании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Харайгунского муниципального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 муниципальной программы</w:t>
            </w: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МКУК «КДЦ Харайгунского МО» 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уч. Буринская Дача мкр. Саянская деревня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МОУ Харайгунская СОШ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Подрядные организации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 так же: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учреждения социального обслуживания   населения, социальные центры и другие учреждения, организации и предприятия; общественные организации и объединения.</w:t>
            </w:r>
          </w:p>
          <w:p>
            <w:pPr>
              <w:pStyle w:val="21"/>
              <w:jc w:val="both"/>
              <w:rPr>
                <w:color w:val="FF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Цель муниципальной программы</w:t>
            </w:r>
          </w:p>
          <w:p>
            <w:pPr>
              <w:pStyle w:val="21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"https://www.consultant.ru/document/cons_doc_LAW_353981/b5d793692cc0da14b3a3b6e63683f761e9731338/" \l "dst100038" </w:instrText>
            </w:r>
            <w:r>
              <w:fldChar w:fldCharType="separate"/>
            </w:r>
            <w:r>
              <w:rPr>
                <w:sz w:val="28"/>
              </w:rPr>
              <w:t>Обеспечение</w:t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 условий</w:t>
            </w:r>
            <w:r>
              <w:rPr>
                <w:color w:val="000000"/>
                <w:sz w:val="28"/>
                <w:szCs w:val="25"/>
                <w:shd w:val="clear" w:color="auto" w:fill="FFFFFF"/>
              </w:rPr>
              <w:t> 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  <w:p>
            <w:pPr>
              <w:pStyle w:val="21"/>
              <w:jc w:val="both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3"/>
                <w:sz w:val="28"/>
                <w:szCs w:val="28"/>
              </w:rPr>
              <w:t>Задачи муниципальной программы</w:t>
            </w:r>
          </w:p>
          <w:p>
            <w:pPr>
              <w:pStyle w:val="21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7371" w:type="dxa"/>
          </w:tcPr>
          <w:p>
            <w:pPr>
              <w:pStyle w:val="35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Развитие устойчивой потребности всех категорий населения Харайгунского МО в здоровом образе жизни и формирование мотивации к регулярным занятиям физической культурой и спортом;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Максимальное вовлечение инвалидов и лиц с ограниченными возможностями здоровья в регулярные занятия физической культурой и спортом.</w:t>
            </w:r>
          </w:p>
          <w:p>
            <w:pPr>
              <w:pStyle w:val="35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Содействие в оснащении необходимым спортивным оборудованием и инвентарем для занятий физической культурой и спортом;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bCs/>
                <w:color w:val="212121"/>
                <w:spacing w:val="-4"/>
                <w:sz w:val="28"/>
                <w:szCs w:val="28"/>
              </w:rPr>
              <w:t xml:space="preserve">Сроки </w:t>
            </w:r>
            <w:r>
              <w:rPr>
                <w:bCs/>
                <w:color w:val="000000"/>
                <w:spacing w:val="-4"/>
                <w:sz w:val="28"/>
                <w:szCs w:val="28"/>
              </w:rPr>
              <w:t xml:space="preserve">реализации программы </w:t>
            </w:r>
            <w:r>
              <w:rPr>
                <w:sz w:val="28"/>
                <w:szCs w:val="28"/>
              </w:rPr>
              <w:t xml:space="preserve"> муниципальной программы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2024 - 2026 годы.</w:t>
            </w:r>
          </w:p>
          <w:p>
            <w:pPr>
              <w:pStyle w:val="21"/>
              <w:jc w:val="both"/>
              <w:rPr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>Объемы и источники финансирования  муниципальной программы</w:t>
            </w:r>
          </w:p>
          <w:p>
            <w:pPr>
              <w:pStyle w:val="21"/>
              <w:jc w:val="both"/>
              <w:rPr>
                <w:bCs/>
                <w:spacing w:val="-4"/>
                <w:sz w:val="28"/>
                <w:szCs w:val="28"/>
              </w:rPr>
            </w:pP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Объем финансирования муниципальной программы     составляет:</w:t>
            </w:r>
          </w:p>
          <w:tbl>
            <w:tblPr>
              <w:tblStyle w:val="20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28"/>
              <w:gridCol w:w="1428"/>
              <w:gridCol w:w="1428"/>
              <w:gridCol w:w="1428"/>
              <w:gridCol w:w="142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28" w:type="dxa"/>
                  <w:vMerge w:val="restart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Годы</w:t>
                  </w:r>
                </w:p>
              </w:tc>
              <w:tc>
                <w:tcPr>
                  <w:tcW w:w="1428" w:type="dxa"/>
                  <w:vMerge w:val="restart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Всего тыс. руб.</w:t>
                  </w:r>
                </w:p>
              </w:tc>
              <w:tc>
                <w:tcPr>
                  <w:tcW w:w="4284" w:type="dxa"/>
                  <w:gridSpan w:val="3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том числе: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28" w:type="dxa"/>
                  <w:vMerge w:val="continue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8" w:type="dxa"/>
                  <w:vMerge w:val="continue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Областной бюджет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00" w:themeColor="text1"/>
                      <w:sz w:val="20"/>
                      <w:szCs w:val="20"/>
                    </w:rPr>
                    <w:t>Местный бюджет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2024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320,00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320,00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2025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320,00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320,00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2026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320,00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1428" w:type="dxa"/>
                </w:tcPr>
                <w:p>
                  <w:pPr>
                    <w:pStyle w:val="21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320,00</w:t>
                  </w:r>
                </w:p>
              </w:tc>
            </w:tr>
          </w:tbl>
          <w:p>
            <w:pPr>
              <w:pStyle w:val="2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Ожидаемые 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результаты реализации  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 муниципальной программы </w:t>
            </w:r>
            <w:r>
              <w:rPr>
                <w:sz w:val="28"/>
                <w:szCs w:val="28"/>
              </w:rPr>
              <w:br w:type="textWrapping"/>
            </w:r>
          </w:p>
          <w:p>
            <w:pPr>
              <w:pStyle w:val="21"/>
              <w:jc w:val="both"/>
              <w:rPr>
                <w:bCs/>
                <w:spacing w:val="-4"/>
                <w:sz w:val="28"/>
                <w:szCs w:val="28"/>
              </w:rPr>
            </w:pPr>
          </w:p>
        </w:tc>
        <w:tc>
          <w:tcPr>
            <w:tcW w:w="7371" w:type="dxa"/>
          </w:tcPr>
          <w:p>
            <w:pPr>
              <w:pStyle w:val="37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Доля граждан Харайгунского МО, занимающихся физической культурой и спортом по месту проживания в общей численности населения с 42% в 2022 году до 70 % к 2026 году;</w:t>
            </w:r>
          </w:p>
          <w:p>
            <w:pPr>
              <w:pStyle w:val="37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детей и подростков, занимающихся физической культурой и спортом, в общей численности детей и подростков (из расчета численности занимающихся физической культурой и спортом в возрасте от 6 до 29 лет) с 23,5 % в 2022 году до 48 % к 2026 году; </w:t>
            </w:r>
          </w:p>
          <w:p>
            <w:pPr>
              <w:pStyle w:val="37"/>
              <w:numPr>
                <w:ilvl w:val="0"/>
                <w:numId w:val="4"/>
              </w:numPr>
              <w:tabs>
                <w:tab w:val="left" w:pos="0"/>
              </w:tabs>
              <w:spacing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Харайгунском МО) увеличить с 1% до 2 % от общей численности населения.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7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Система управления и контроля за исполнением  муниципальной программы</w:t>
            </w:r>
          </w:p>
        </w:tc>
        <w:tc>
          <w:tcPr>
            <w:tcW w:w="7371" w:type="dxa"/>
          </w:tcPr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по физической культуре и спорту при администрации Харайгунского муниципального образования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 ветеранов Харайгунского МО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ТОСы Харйгунского МО</w:t>
            </w:r>
          </w:p>
          <w:p>
            <w:pPr>
              <w:pStyle w:val="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Активисты-жители, находящиеся на заслуженном отдыхе, имеющие опыт работы по развитию спорта.</w:t>
            </w:r>
          </w:p>
        </w:tc>
      </w:tr>
    </w:tbl>
    <w:p>
      <w:pPr>
        <w:pStyle w:val="21"/>
        <w:rPr>
          <w:sz w:val="28"/>
          <w:szCs w:val="28"/>
        </w:rPr>
      </w:pP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 xml:space="preserve">ОБЩАЯ ХАРАКТЕРИСТИКА СФЕРЫ РЕАЛИЗАЦИИ </w:t>
      </w:r>
      <w:r>
        <w:rPr>
          <w:rFonts w:ascii="Times New Roman" w:hAnsi="Times New Roman" w:cs="Times New Roman"/>
          <w:i w:val="0"/>
        </w:rPr>
        <w:t>МУНИЦИПАЛЬНОЙ ПРОГРАММЫ</w:t>
      </w:r>
    </w:p>
    <w:p>
      <w:pPr>
        <w:pStyle w:val="21"/>
        <w:rPr>
          <w:sz w:val="28"/>
          <w:szCs w:val="28"/>
        </w:rPr>
      </w:pP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Роль физической культуры и спорта становится не только все более заметным социальным, но и политическим фактором в современном мире. Привлечение широких масс населения к систематическим занятиям физической культурой и спортом, создание условий для ведения здорового образа жизни жителями Харайгунского муниципального образования, получение доступа к развитой инфраструктуре, успехи на районных и областных состязаниях являются главными целями реализации государственной политики в сфере физической культуры и спорта в Харайгунском МО.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Спортивно-оздоровительная деятельность улучшает здоровье и физическую подготовленность человека, способствует воспитанию подрастающего поколения и снижению количества преступлений совершаемых несовершеннолетними, физической реабилитации и социальной адаптации инвалидов, повышает работоспособность и производительность труда экономически активного населения, продлевает период активной трудовой деятельности. Поэтому физическая культура и спорт должны стать основой здорового образа жизни,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Ежегодно  сектором по физической культуре, спорту и молодежной политике администрации  Зиминского районного муниципального образования при тесном  взаимодействии с администрациями сельских муниципальных образований Зиминского  района, с общественными организациями,  по различным видам спорта формирует Единый календарный  план муниципальных официальных физкультурных и спортивных мероприятий, для населения Зиминского районного муниципального образования   (далее – Единый календарный план), в котором предусматривается работа целостной системы физкультурно-оздоровительных и спортивно-массовых мероприятий, обеспечивающих возможность регулярно заниматься физической культурой и спортом и участвовать в них всем категориям населения.</w:t>
      </w:r>
    </w:p>
    <w:p>
      <w:pPr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 Единый календарный план включаются физкультурные и спортивные мероприятия для учащихся общеобразовательных школ и воспитанников детских садов, работников предприятий и организаций, инвалидов и лиц с ограниченными возможностями здоровья.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Харайгунском муниципальном образовании ведется планомерная и целенаправленная работа по укреплению спортивной материально-технической базы. Результатом данной работы стало: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оснащение материально-технической базы спортинвентарём Харайгунского КДЦ через отдел по спорту Зиминского района.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-победа жителей мкр. Саянская деревня в грантовом конкурсе «Старшие» БФ «Добрый город Петербург» «Соколиный глаз» в 2021 году. Приобретение 3х пулевых винтовок для создания тира на сумму 30 тыс. рублей.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победа в грантовом конкурсе жителей мкр. Саянская Деревня «Спорт-норма жизни». Оснащение спортинвентарём на сумму 106 тыс. руб в 2022 году.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строительствомногофункциональной спортивной площадки в мкр. Саянская деревня в 2023 году.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-создание жителями с. Харайгун футбольного поля.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настоящий момент на территории Харайгунского МО расположено 2 спортивных объекта (1 волейбольная площадка и футбольное поле). Волейбольная площадка находится в мкр. Саянская Деревня и футбольное поле – на территории, прилегающей к КДЦ в с.Харайгун.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1 января 2023 года физической культурой и спортом  в Харайгунском  МО на регулярной основе занимаются </w:t>
      </w:r>
      <w:r>
        <w:rPr>
          <w:rFonts w:ascii="Times New Roman" w:hAnsi="Times New Roman" w:cs="Times New Roman"/>
          <w:color w:val="auto"/>
          <w:sz w:val="28"/>
          <w:szCs w:val="28"/>
        </w:rPr>
        <w:t>299 человек</w:t>
      </w:r>
      <w:r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>
        <w:rPr>
          <w:rFonts w:ascii="Times New Roman" w:hAnsi="Times New Roman" w:cs="Times New Roman"/>
          <w:color w:val="auto"/>
          <w:sz w:val="28"/>
          <w:szCs w:val="28"/>
        </w:rPr>
        <w:t>42 %</w:t>
      </w:r>
      <w:r>
        <w:rPr>
          <w:rFonts w:ascii="Times New Roman" w:hAnsi="Times New Roman" w:cs="Times New Roman"/>
          <w:sz w:val="28"/>
          <w:szCs w:val="28"/>
        </w:rPr>
        <w:t xml:space="preserve"> от общего числа жителей.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Харайгунский муниципалитет участвует во всех районных соревнованиях. При отсутствии тренерского состава и должных объектов спорта, в 2022 году Харайгунский муниципалитет стал победителем районных соревнований «Спорту возраст не помеха».</w:t>
      </w:r>
    </w:p>
    <w:p>
      <w:pPr>
        <w:pStyle w:val="18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Высокие показатели достигнуты благодаря работе Совета ветеранов, активных жителей, Благотворительного Фонда «Содружество».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проблемами в сфере физической культуры и спорта являются: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низкий уровень обеспеченности объектами спорта.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в штате тренеров;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Решением обозначенных проблем является создание условий для занятия спортом, доступных в любое время года и для всех категорий гражданХарайгунского МО.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связи с этим большое значение приобретает программно-целевой подход, так как он позволяет в условиях ограниченных материальных и финансовых ресурсов целенаправ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ленно сконцентрировать имеющиеся средства и резервы на основных направлениях, определённых Программой.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учитывает, прежде всего, возможности системы местного самоуправления, финансовые и другие ресурсы.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своей направленности Программа нацелена на формирование у всех социальных и возрастных групп жителей осознанного, мотивированного отношения к улучшению и сохранению своего здоровья средствами и методами физической культуры и спорта.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основной акцент в Программе сделан на физкультурно-оздоровительную работу и развитие массового детско-юношеского спорта. </w:t>
      </w:r>
    </w:p>
    <w:p>
      <w:pPr>
        <w:pStyle w:val="23"/>
        <w:widowControl/>
        <w:ind w:firstLine="567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>Работа в сфере физической культуры в Харайгунском муниципальном образовании ведется по направлениям:</w:t>
      </w:r>
    </w:p>
    <w:p>
      <w:pPr>
        <w:pStyle w:val="23"/>
        <w:widowControl/>
        <w:numPr>
          <w:ilvl w:val="0"/>
          <w:numId w:val="5"/>
        </w:numPr>
        <w:jc w:val="both"/>
        <w:rPr>
          <w:rFonts w:ascii="Times New Roman" w:hAnsi="Times New Roman" w:cs="Times New Roman"/>
          <w:spacing w:val="5"/>
          <w:sz w:val="28"/>
          <w:szCs w:val="28"/>
          <w:u w:val="single"/>
        </w:rPr>
      </w:pPr>
      <w:r>
        <w:rPr>
          <w:rFonts w:ascii="Times New Roman" w:hAnsi="Times New Roman" w:cs="Times New Roman"/>
          <w:spacing w:val="5"/>
          <w:sz w:val="28"/>
          <w:szCs w:val="28"/>
          <w:u w:val="single"/>
        </w:rPr>
        <w:t>Проведение мероприятий в культурно-досуговых организациях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На базе библиотеки мкр. Саянской Деревни  работают спортивные секции волонтёрами: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шахматный кружок.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-кружок пулевой стрельбы.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-группа «Скандинавочки».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с. Харайгун ведутся кружки: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-шашки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-настольный теннис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-лыжи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системе проводятся спортивные праздники, дни здоровья не реже 1 раза в месяц. В спортивных секциях занимаются 64ребёнка, что составляет 42% от общего количества детей. В КДЦ Харайгунского МО организован клуб любителей спорта, ведетсяфизкультурно-оздоровительная работа среди населения.  Спортивные команды от Харайгунского муниципального образования участвуют во всех районных соревнованиях и сельских спортивных играх.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муниципальном образовании физкультурно-спортивные и оздоровительные мероприятия    проводят специалисты-волонтёры.</w:t>
      </w:r>
    </w:p>
    <w:p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  <w:u w:val="single"/>
        </w:rPr>
        <w:t>Укрепление материально-технической базы</w:t>
      </w:r>
    </w:p>
    <w:p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Основой спортивной базы на селе являются волейбольные площадки ифутбольное поле, на базе которыхпроводятся местные спортивные мероприятия.  </w:t>
      </w:r>
    </w:p>
    <w:p>
      <w:pPr>
        <w:ind w:right="-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>
        <w:rPr>
          <w:sz w:val="28"/>
          <w:szCs w:val="28"/>
          <w:u w:val="single"/>
        </w:rPr>
        <w:t>Пропаганда физической культуры.</w:t>
      </w:r>
    </w:p>
    <w:p>
      <w:pPr>
        <w:ind w:right="-104" w:firstLine="567"/>
        <w:jc w:val="both"/>
        <w:rPr>
          <w:sz w:val="28"/>
          <w:szCs w:val="28"/>
        </w:rPr>
      </w:pPr>
      <w:r>
        <w:rPr>
          <w:sz w:val="28"/>
          <w:szCs w:val="28"/>
        </w:rPr>
        <w:t>С целью пропаганды физической культуры и спорта, здорового образа жизни для освещения спортивно-массовых и физкультурно-оздоровительных мероприятий в муниципальном образовании существует свое периодическое издание местного самоуправленияХарайгунского муниципального образования  -   «Информационный вестникХарайгунского муниципального образования». Размещаются статьи в информационно-аналитическом, общественно-политическом еженедельнике «Вестник района», который является партнёром в популяризации спорта на селе, официальном  сайтеХарайгунскогоМО, в группе Вконтактеhttps://vk.com/public216839838.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муниципальном образовании создан совет по физической культуре и спорту при администрации  Харайгунского муниципального образования. Председателем совета является Глава  Харайгунского муниципального образования. Основной целью создания совета является координация деятельности органов исполнительной власти в муниципальном образовании в сфере развития  физической культуры.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заседаниях совета рассматриваются вопросы:</w:t>
      </w:r>
    </w:p>
    <w:p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- о привлечении большего числа жителей Харайгунского муниципального образования к занятиям физической культурой;</w:t>
      </w:r>
    </w:p>
    <w:p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- о проблемах и путях решения организации физкультурно-оздоровительной работы в муниципальном образовании;</w:t>
      </w:r>
    </w:p>
    <w:p>
      <w:pPr>
        <w:pStyle w:val="23"/>
        <w:widowControl/>
        <w:ind w:firstLine="0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 xml:space="preserve">- утверждение календарных планов; </w:t>
      </w:r>
    </w:p>
    <w:p>
      <w:pPr>
        <w:pStyle w:val="23"/>
        <w:widowControl/>
        <w:ind w:firstLine="0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>- строительство новых объектов спорта и их наполняемость.</w:t>
      </w:r>
    </w:p>
    <w:p>
      <w:pPr>
        <w:pStyle w:val="23"/>
        <w:widowControl/>
        <w:ind w:firstLine="0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>-создание рабочих мест тренерского состава.</w:t>
      </w:r>
    </w:p>
    <w:p>
      <w:pPr>
        <w:pStyle w:val="23"/>
        <w:widowControl/>
        <w:ind w:firstLine="0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>-участие в грантовых конкурсах и привлечение средств на развитие спорта в сельских местностях.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Общая ситуация в сфере физической культуры  в  Харайгунском муниципальном образовании с учетом накопившихся проблем характеризуется:</w:t>
      </w:r>
    </w:p>
    <w:p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обеспеченности качественными (современными) объектами спорта;</w:t>
      </w:r>
    </w:p>
    <w:p>
      <w:pPr>
        <w:pStyle w:val="21"/>
        <w:jc w:val="both"/>
        <w:rPr>
          <w:sz w:val="28"/>
          <w:szCs w:val="28"/>
        </w:rPr>
      </w:pPr>
      <w:r>
        <w:rPr>
          <w:sz w:val="28"/>
          <w:szCs w:val="28"/>
        </w:rPr>
        <w:t>- отсутствие выделенных ставок под тренерские и инструкторские кадры;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жители Харайгунского МО замотивированы на спорт. Это подтверждается статистикой, наличием кружковой деят-ти, участием в спортивных соревнованиях. Без реализации мер по развитию физической культуры и спорта в Харайгунскоммуниципальном образовании по созданию объектов спорта и выделении штатных единиц тренерского состава ситуация может поменяться в худшую сторону: 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мест для занятия спортом может негативно отразится на состоянии здоровья подрастающего поколения, а также приведет к росту асоциальных явлений в детской и молодежной среде (алкоголизм, наркомания, преступность);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Положительное решение данных вопросов станет основой для разработки комплекса мероприятий по развитию физической культуры.</w:t>
      </w:r>
    </w:p>
    <w:p>
      <w:pPr>
        <w:pStyle w:val="21"/>
        <w:jc w:val="both"/>
        <w:rPr>
          <w:rFonts w:eastAsia="Batang"/>
          <w:sz w:val="28"/>
          <w:szCs w:val="28"/>
        </w:rPr>
      </w:pP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ЦЕЛИ И ЗАДАЧИ МУНИЦИПАЛЬНОЙ ПРОГРАММЫ</w:t>
      </w:r>
    </w:p>
    <w:p>
      <w:pPr>
        <w:pStyle w:val="21"/>
        <w:jc w:val="both"/>
        <w:rPr>
          <w:b/>
          <w:sz w:val="28"/>
          <w:szCs w:val="28"/>
        </w:rPr>
      </w:pPr>
    </w:p>
    <w:p>
      <w:pPr>
        <w:pStyle w:val="21"/>
        <w:ind w:firstLine="567"/>
        <w:jc w:val="both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Целями муниципальной программы</w:t>
      </w:r>
      <w:r>
        <w:rPr>
          <w:sz w:val="28"/>
          <w:szCs w:val="28"/>
        </w:rPr>
        <w:t xml:space="preserve"> является</w:t>
      </w:r>
      <w:r>
        <w:rPr>
          <w:rFonts w:eastAsia="Batang"/>
          <w:sz w:val="28"/>
          <w:szCs w:val="28"/>
        </w:rPr>
        <w:t>: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1.Обеспечение условий для развития массовой физической культуры и спорта на территории Харайгунского МО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Развитие инфраструктуры физической культуры и спорта (в том числе для лиц с ограниченными возможностями здоровья и инвалидов).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целей муниципальной программы возможно при решении следующих задач:</w:t>
      </w:r>
    </w:p>
    <w:p>
      <w:pPr>
        <w:pStyle w:val="3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Развитие устойчивой потребности всех категорий населения Харайгунского МО в здоровом образе жизни и формирование мотивации к регулярным занятиям физической культурой и спортом;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Максимальное вовлечение инвалидов и лиц с ограниченными возможностями здоровья в регулярные занятия физической культурой и спортом.</w:t>
      </w:r>
    </w:p>
    <w:p>
      <w:pPr>
        <w:pStyle w:val="3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Содействие в оснащении необходимым спортивным оборудованием и инвентарем для занятий физической культурой и спортом;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Осуществление бюджетных инвестиций в форме капитальных вложений в объекты муниципальной собственности в сфере физической культуры и спорта.</w:t>
      </w:r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целом реализация мероприятий  муниципальной программы позволит к 2026 году:</w:t>
      </w:r>
    </w:p>
    <w:p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1.увеличить</w:t>
      </w:r>
      <w:r>
        <w:rPr>
          <w:sz w:val="28"/>
          <w:szCs w:val="28"/>
        </w:rPr>
        <w:t xml:space="preserve"> долю граждан Харайгунского МО, занимающихся физической культурой и спортом по месту проживания, в общей численности населения с42 % в 2022 году до 70 % в 2026 году;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увеличить долю детей и подростков, занимающихся физической культурой и спортом, в общей численности детей и подростков, проживающих на территории Харайгунского МО (из расчета численности занимающихся физической культурой и спортом в возрасте от 6 до 29 лет) с 23,5% в 2022 году до 48,0 % в 2026 году;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увеличить долю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Харайгунском МО) с 1% в 2022 году до 2 % в 2026 году; </w:t>
      </w:r>
    </w:p>
    <w:p>
      <w:pPr>
        <w:pStyle w:val="35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4.увеличенить единовременную пропускную способность объектов спорта, введенных в эксплуатацию в рамках Программы;</w:t>
      </w:r>
    </w:p>
    <w:p>
      <w:pPr>
        <w:pStyle w:val="21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5. увеличить количество спортивных объектов на территории поселения до 4 ед. в 2024 году. </w:t>
      </w:r>
    </w:p>
    <w:p>
      <w:pPr>
        <w:pStyle w:val="21"/>
        <w:jc w:val="both"/>
        <w:rPr>
          <w:rFonts w:eastAsia="Batang"/>
          <w:sz w:val="28"/>
          <w:szCs w:val="28"/>
        </w:rPr>
      </w:pPr>
      <w:r>
        <w:rPr>
          <w:bCs/>
          <w:sz w:val="28"/>
          <w:szCs w:val="28"/>
        </w:rPr>
        <w:t xml:space="preserve">Таким образом, реализация мероприятий муниципальной программы </w:t>
      </w:r>
      <w:r>
        <w:rPr>
          <w:sz w:val="28"/>
          <w:szCs w:val="28"/>
        </w:rPr>
        <w:t>позволит закрепить положительную динамику по</w:t>
      </w:r>
      <w:r>
        <w:rPr>
          <w:rFonts w:eastAsia="Batang"/>
          <w:sz w:val="28"/>
          <w:szCs w:val="28"/>
        </w:rPr>
        <w:t xml:space="preserve"> созданию благоприятных условий для увеличения охвата населения  Харайгунского муниципального образования физической культурой и спортом.</w:t>
      </w:r>
    </w:p>
    <w:p>
      <w:pPr>
        <w:pStyle w:val="21"/>
        <w:jc w:val="center"/>
        <w:rPr>
          <w:b/>
          <w:bCs/>
          <w:sz w:val="28"/>
          <w:szCs w:val="28"/>
        </w:rPr>
      </w:pP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СРОКИ РЕАЛИЗАЦИИ И РЕСУРСНОЕ ОБЕСПЕЧЕНИЕ МУНИЦИПАЛЬНОЙ ПРОГРАММЫ</w:t>
      </w:r>
    </w:p>
    <w:p/>
    <w:tbl>
      <w:tblPr>
        <w:tblStyle w:val="12"/>
        <w:tblpPr w:leftFromText="180" w:rightFromText="180" w:vertAnchor="text" w:horzAnchor="margin" w:tblpXSpec="center" w:tblpY="5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1866"/>
        <w:gridCol w:w="1600"/>
        <w:gridCol w:w="1600"/>
        <w:gridCol w:w="1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1378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szCs w:val="20"/>
              </w:rPr>
              <w:t>В том числе: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Всего по программе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(тыс.руб.)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2024 г.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(тыс. руб.)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2025 г.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( тыс.руб.)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2026 г.</w:t>
            </w:r>
          </w:p>
          <w:p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 тыс.руб.)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378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 w:themeColor="text1"/>
                <w:szCs w:val="20"/>
              </w:rPr>
              <w:t>Федеральный бюджет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378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 w:themeColor="text1"/>
                <w:szCs w:val="20"/>
              </w:rPr>
              <w:t>Областной бюджет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378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color w:val="000000" w:themeColor="text1"/>
                <w:szCs w:val="20"/>
              </w:rPr>
              <w:t>Местный бюджет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960,0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78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Общий объем финансирования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960,0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  <w:tc>
          <w:tcPr>
            <w:tcW w:w="836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  <w:tc>
          <w:tcPr>
            <w:tcW w:w="975" w:type="pct"/>
            <w:vAlign w:val="center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320,0</w:t>
            </w:r>
          </w:p>
        </w:tc>
      </w:tr>
    </w:tbl>
    <w:p>
      <w:pPr>
        <w:pStyle w:val="21"/>
        <w:rPr>
          <w:sz w:val="28"/>
          <w:szCs w:val="28"/>
        </w:rPr>
      </w:pPr>
    </w:p>
    <w:p/>
    <w:p/>
    <w:p/>
    <w:p>
      <w:p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ПЕРЕЧЕНЬ МЕРОПРИЯТИЙ МУНИЦИПАЛЬНОЙ ПРОГРАММЫ</w:t>
      </w:r>
    </w:p>
    <w:p>
      <w:pPr>
        <w:pStyle w:val="21"/>
        <w:rPr>
          <w:b/>
          <w:bCs/>
          <w:sz w:val="28"/>
          <w:szCs w:val="28"/>
        </w:rPr>
      </w:pPr>
    </w:p>
    <w:tbl>
      <w:tblPr>
        <w:tblStyle w:val="12"/>
        <w:tblpPr w:leftFromText="180" w:rightFromText="180" w:vertAnchor="text" w:horzAnchor="margin" w:tblpX="569" w:tblpY="1"/>
        <w:tblW w:w="4974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412"/>
        <w:gridCol w:w="1383"/>
        <w:gridCol w:w="2636"/>
        <w:gridCol w:w="915"/>
        <w:gridCol w:w="615"/>
        <w:gridCol w:w="591"/>
        <w:gridCol w:w="606"/>
        <w:gridCol w:w="6"/>
        <w:gridCol w:w="577"/>
        <w:gridCol w:w="603"/>
        <w:gridCol w:w="29"/>
        <w:gridCol w:w="559"/>
        <w:gridCol w:w="59"/>
        <w:gridCol w:w="24"/>
        <w:gridCol w:w="568"/>
        <w:gridCol w:w="141"/>
        <w:gridCol w:w="50"/>
        <w:gridCol w:w="574"/>
        <w:gridCol w:w="115"/>
        <w:gridCol w:w="638"/>
        <w:gridCol w:w="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pct"/>
        </w:trPr>
        <w:tc>
          <w:tcPr>
            <w:tcW w:w="193" w:type="pct"/>
            <w:vMerge w:val="restart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160" w:type="pct"/>
            <w:vMerge w:val="restart"/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Программные мероприятия </w:t>
            </w:r>
          </w:p>
        </w:tc>
        <w:tc>
          <w:tcPr>
            <w:tcW w:w="470" w:type="pct"/>
            <w:vMerge w:val="restart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896" w:type="pct"/>
            <w:vMerge w:val="restart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Исполнители/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соисполнители программных мероприятий</w:t>
            </w:r>
          </w:p>
        </w:tc>
        <w:tc>
          <w:tcPr>
            <w:tcW w:w="311" w:type="pct"/>
            <w:vMerge w:val="restart"/>
            <w:tcBorders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(тыс. руб.)</w:t>
            </w:r>
          </w:p>
        </w:tc>
        <w:tc>
          <w:tcPr>
            <w:tcW w:w="616" w:type="pct"/>
            <w:gridSpan w:val="3"/>
            <w:tcBorders>
              <w:left w:val="single" w:color="auto" w:sz="4" w:space="0"/>
            </w:tcBorders>
            <w:shd w:val="clear" w:color="auto" w:fill="FFFFFF" w:themeFill="background1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603" w:type="pct"/>
            <w:gridSpan w:val="5"/>
            <w:tcBorders>
              <w:left w:val="single" w:color="auto" w:sz="4" w:space="0"/>
            </w:tcBorders>
            <w:shd w:val="clear" w:color="auto" w:fill="FFFFFF" w:themeFill="background1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737" w:type="pct"/>
            <w:gridSpan w:val="8"/>
            <w:tcBorders>
              <w:left w:val="single" w:color="auto" w:sz="4" w:space="0"/>
            </w:tcBorders>
            <w:shd w:val="clear" w:color="auto" w:fill="FFFFFF" w:themeFill="background1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93" w:type="pct"/>
            <w:vMerge w:val="continue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0" w:type="pct"/>
            <w:vMerge w:val="continue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0" w:type="pct"/>
            <w:vMerge w:val="continue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pct"/>
            <w:vMerge w:val="continue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" w:type="pct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" w:type="pct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01" w:type="pct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2025г.</w:t>
            </w:r>
          </w:p>
        </w:tc>
        <w:tc>
          <w:tcPr>
            <w:tcW w:w="208" w:type="pct"/>
            <w:gridSpan w:val="2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2026г.</w:t>
            </w:r>
          </w:p>
        </w:tc>
        <w:tc>
          <w:tcPr>
            <w:tcW w:w="196" w:type="pct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15" w:type="pct"/>
            <w:gridSpan w:val="2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2025г.</w:t>
            </w:r>
          </w:p>
        </w:tc>
        <w:tc>
          <w:tcPr>
            <w:tcW w:w="190" w:type="pct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2026г.</w:t>
            </w:r>
          </w:p>
        </w:tc>
        <w:tc>
          <w:tcPr>
            <w:tcW w:w="221" w:type="pct"/>
            <w:gridSpan w:val="3"/>
            <w:tcBorders>
              <w:top w:val="single" w:color="auto" w:sz="4" w:space="0"/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2024г.</w:t>
            </w:r>
          </w:p>
        </w:tc>
        <w:tc>
          <w:tcPr>
            <w:tcW w:w="260" w:type="pct"/>
            <w:gridSpan w:val="3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2025г.</w:t>
            </w:r>
          </w:p>
        </w:tc>
        <w:tc>
          <w:tcPr>
            <w:tcW w:w="270" w:type="pct"/>
            <w:gridSpan w:val="3"/>
            <w:tcBorders>
              <w:right w:val="single" w:color="auto" w:sz="4" w:space="0"/>
            </w:tcBorders>
            <w:textDirection w:val="btLr"/>
          </w:tcPr>
          <w:p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2026г.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93" w:type="pct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807" w:type="pct"/>
            <w:gridSpan w:val="21"/>
            <w:tcBorders>
              <w:top w:val="nil"/>
              <w:bottom w:val="nil"/>
              <w:right w:val="single" w:color="auto" w:sz="4" w:space="0"/>
            </w:tcBorders>
            <w:shd w:val="clear" w:color="auto" w:fill="auto"/>
          </w:tcPr>
          <w:p>
            <w:pPr>
              <w:spacing w:after="200" w:line="276" w:lineRule="auto"/>
            </w:pPr>
            <w:r>
              <w:fldChar w:fldCharType="begin"/>
            </w:r>
            <w:r>
              <w:instrText xml:space="preserve"> HYPERLINK "https://www.consultant.ru/document/cons_doc_LAW_353981/b5d793692cc0da14b3a3b6e63683f761e9731338/" \l "dst100038" </w:instrText>
            </w:r>
            <w:r>
              <w:fldChar w:fldCharType="separate"/>
            </w:r>
            <w:r>
              <w:rPr>
                <w:sz w:val="28"/>
              </w:rPr>
              <w:t>Обеспечение</w:t>
            </w:r>
            <w:r>
              <w:rPr>
                <w:sz w:val="28"/>
              </w:rPr>
              <w:fldChar w:fldCharType="end"/>
            </w:r>
            <w:r>
              <w:rPr>
                <w:sz w:val="28"/>
              </w:rPr>
              <w:t xml:space="preserve"> условий</w:t>
            </w:r>
            <w:r>
              <w:rPr>
                <w:color w:val="000000"/>
                <w:sz w:val="28"/>
                <w:szCs w:val="25"/>
                <w:shd w:val="clear" w:color="auto" w:fill="FFFFFF"/>
              </w:rPr>
              <w:t> 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поселения, в том числе: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9" w:type="pct"/>
            <w:gridSpan w:val="4"/>
            <w:tcBorders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right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ВСЕГО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960,0</w:t>
            </w:r>
          </w:p>
        </w:tc>
        <w:tc>
          <w:tcPr>
            <w:tcW w:w="209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01" w:type="pct"/>
            <w:tcBorders>
              <w:left w:val="single" w:color="auto" w:sz="4" w:space="0"/>
            </w:tcBorders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196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320,0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320,0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320,0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160" w:type="pct"/>
            <w:tcBorders>
              <w:right w:val="single" w:color="auto" w:sz="4" w:space="0"/>
            </w:tcBorders>
          </w:tcPr>
          <w:p>
            <w:pPr>
              <w:pStyle w:val="24"/>
              <w:widowControl/>
              <w:ind w:right="0"/>
              <w:jc w:val="both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Создание  постоянной рубрики в В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  <w:lang w:val="en-US"/>
              </w:rPr>
              <w:t>Vhttps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://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  <w:lang w:val="en-US"/>
              </w:rPr>
              <w:t>vk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.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  <w:lang w:val="en-US"/>
              </w:rPr>
              <w:t>com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/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  <w:lang w:val="en-US"/>
              </w:rPr>
              <w:t>public</w:t>
            </w: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 xml:space="preserve">216839838 </w:t>
            </w:r>
            <w:r>
              <w:rPr>
                <w:rFonts w:ascii="Times New Roman" w:hAnsi="Times New Roman" w:cs="Times New Roman"/>
                <w:b w:val="0"/>
                <w:spacing w:val="5"/>
              </w:rPr>
              <w:t xml:space="preserve"> о состоянии физической культуры в поселении, пропаганде здорового образа жизни среди населения</w:t>
            </w:r>
          </w:p>
        </w:tc>
        <w:tc>
          <w:tcPr>
            <w:tcW w:w="470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jc w:val="both"/>
              <w:rPr>
                <w:sz w:val="20"/>
                <w:szCs w:val="20"/>
              </w:rPr>
            </w:pPr>
          </w:p>
          <w:p>
            <w:pPr>
              <w:pStyle w:val="21"/>
              <w:jc w:val="both"/>
              <w:rPr>
                <w:sz w:val="20"/>
                <w:szCs w:val="20"/>
              </w:rPr>
            </w:pPr>
          </w:p>
          <w:p>
            <w:pPr>
              <w:pStyle w:val="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896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администрация Харайгунского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09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01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196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Организация, проведение и участие в конкурсах, фестивалях, акциях, конференциях, семинарах и других мероприятиях по вопросам физкультуры и спорта и здорового образа жизни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</w:t>
            </w:r>
            <w:r>
              <w:rPr>
                <w:spacing w:val="-6"/>
                <w:sz w:val="20"/>
                <w:szCs w:val="20"/>
                <w:lang w:val="en-US"/>
              </w:rPr>
              <w:t>2</w:t>
            </w:r>
            <w:r>
              <w:rPr>
                <w:spacing w:val="-6"/>
                <w:sz w:val="20"/>
                <w:szCs w:val="20"/>
              </w:rPr>
              <w:t>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Харайгунского МО»,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</w:t>
            </w:r>
            <w:r>
              <w:rPr>
                <w:spacing w:val="-6"/>
                <w:sz w:val="20"/>
                <w:szCs w:val="20"/>
              </w:rPr>
              <w:t>Харайгунского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Всероссийского физкультурно-спортивного комплекса ГТО в  Харайгунском муниципальном образовании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  <w:lang w:val="en-US"/>
              </w:rPr>
            </w:pPr>
            <w:r>
              <w:rPr>
                <w:spacing w:val="-6"/>
                <w:sz w:val="20"/>
                <w:szCs w:val="20"/>
              </w:rPr>
              <w:t>202</w:t>
            </w:r>
            <w:r>
              <w:rPr>
                <w:spacing w:val="-6"/>
                <w:sz w:val="20"/>
                <w:szCs w:val="20"/>
                <w:lang w:val="en-US"/>
              </w:rPr>
              <w:t>4</w:t>
            </w:r>
            <w:r>
              <w:rPr>
                <w:spacing w:val="-6"/>
                <w:sz w:val="20"/>
                <w:szCs w:val="20"/>
              </w:rPr>
              <w:t>-202</w:t>
            </w:r>
            <w:r>
              <w:rPr>
                <w:spacing w:val="-6"/>
                <w:sz w:val="20"/>
                <w:szCs w:val="20"/>
                <w:lang w:val="en-US"/>
              </w:rPr>
              <w:t>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Специалист по физкультуре и спорту Зиминского района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Подготовка, издание, приобретение и распространение памяток, буклетов, методических и наглядных пособий, информационных листков на темы о здоровом образе жизни, физкультуре и спорте.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  <w:lang w:val="en-US"/>
              </w:rPr>
            </w:pPr>
            <w:r>
              <w:rPr>
                <w:spacing w:val="-6"/>
                <w:sz w:val="20"/>
                <w:szCs w:val="20"/>
              </w:rPr>
              <w:t>202</w:t>
            </w:r>
            <w:r>
              <w:rPr>
                <w:spacing w:val="-6"/>
                <w:sz w:val="20"/>
                <w:szCs w:val="20"/>
                <w:lang w:val="en-US"/>
              </w:rPr>
              <w:t>4</w:t>
            </w:r>
            <w:r>
              <w:rPr>
                <w:spacing w:val="-6"/>
                <w:sz w:val="20"/>
                <w:szCs w:val="20"/>
              </w:rPr>
              <w:t>-202</w:t>
            </w:r>
            <w:r>
              <w:rPr>
                <w:spacing w:val="-6"/>
                <w:sz w:val="20"/>
                <w:szCs w:val="20"/>
                <w:lang w:val="en-US"/>
              </w:rPr>
              <w:t>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ХМО», , администрация ХМО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 ХМО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09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</w:p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Продолжение реализации Проекта «Скандинавочки»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2024-2026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ХМО», , администрация ХМО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 ХМО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Продолжение реализации Проекта «Пулевая стрель</w:t>
            </w:r>
            <w:bookmarkStart w:id="0" w:name="_GoBack"/>
            <w:bookmarkEnd w:id="0"/>
            <w:r>
              <w:rPr>
                <w:bCs/>
                <w:spacing w:val="5"/>
                <w:sz w:val="20"/>
                <w:szCs w:val="20"/>
              </w:rPr>
              <w:t>ба»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2024-2026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ХМО», , администрация ХМО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 ХМО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Продолжение реализации Проекта «Шахматы»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2024-2026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ХМО», , администрация ХМО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 ХМО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Создание кружка по настольному теннису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2024-2026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ХМО», , администрация ХМО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 ХМО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270,0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Создание группы «Здоровая спина»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2024-2026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МКУК «КДЦ ХМО», , администрация ХМО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both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Совет ветеранов ХМО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" w:type="pct"/>
            <w:tcBorders>
              <w:top w:val="nil"/>
            </w:tcBorders>
          </w:tcPr>
          <w:p>
            <w:pPr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1160" w:type="pct"/>
            <w:tcBorders>
              <w:top w:val="nil"/>
              <w:right w:val="single" w:color="auto" w:sz="4" w:space="0"/>
            </w:tcBorders>
          </w:tcPr>
          <w:p>
            <w:pPr>
              <w:pStyle w:val="21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Проведение мониторинга участия населения Харайгунского МО в мероприятиях Программы</w:t>
            </w:r>
          </w:p>
        </w:tc>
        <w:tc>
          <w:tcPr>
            <w:tcW w:w="47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rPr>
                <w:spacing w:val="-6"/>
                <w:sz w:val="20"/>
                <w:szCs w:val="20"/>
              </w:rPr>
            </w:pP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2024-2026</w:t>
            </w:r>
          </w:p>
          <w:p>
            <w:pPr>
              <w:pStyle w:val="2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годы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pStyle w:val="2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 по физической культуре и спорту  при администрации Харайгунского 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5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10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66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4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auto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93" w:type="pc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1160" w:type="pct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Установка уличных тренажёров в лесопарковой зоне мкр. Саянская деревня</w:t>
            </w:r>
          </w:p>
        </w:tc>
        <w:tc>
          <w:tcPr>
            <w:tcW w:w="470" w:type="pct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</w:t>
            </w:r>
          </w:p>
        </w:tc>
        <w:tc>
          <w:tcPr>
            <w:tcW w:w="89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Администрация Харайгунского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</w:p>
          <w:p>
            <w:pPr>
              <w:pStyle w:val="41"/>
              <w:rPr>
                <w:i w:val="0"/>
                <w:sz w:val="20"/>
                <w:szCs w:val="20"/>
              </w:rPr>
            </w:pPr>
            <w:r>
              <w:rPr>
                <w:i w:val="0"/>
                <w:sz w:val="20"/>
                <w:szCs w:val="20"/>
              </w:rPr>
              <w:t>-</w:t>
            </w: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</w:p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  <w:p>
            <w:pPr>
              <w:pStyle w:val="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</w:p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  <w:p>
            <w:pPr>
              <w:pStyle w:val="41"/>
              <w:rPr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05" w:type="pct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</w:p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8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</w:p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  <w:p>
            <w:pPr>
              <w:pStyle w:val="19"/>
              <w:rPr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ind w:left="-128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9------</w:t>
            </w:r>
          </w:p>
          <w:p>
            <w:pPr>
              <w:pStyle w:val="21"/>
              <w:tabs>
                <w:tab w:val="left" w:pos="175"/>
              </w:tabs>
              <w:ind w:left="-128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  <w:r>
              <w:t>-</w:t>
            </w:r>
          </w:p>
          <w:p>
            <w:r>
              <w:t>-</w:t>
            </w:r>
          </w:p>
        </w:tc>
        <w:tc>
          <w:tcPr>
            <w:tcW w:w="251" w:type="pct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</w:p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  <w:p>
            <w:pPr>
              <w:pStyle w:val="19"/>
              <w:jc w:val="center"/>
              <w:rPr>
                <w:i w:val="0"/>
                <w:color w:val="auto"/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21"/>
              <w:ind w:left="-128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3" w:type="pc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1160" w:type="pct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Приобретение оборудования для скейт-парка.</w:t>
            </w:r>
          </w:p>
        </w:tc>
        <w:tc>
          <w:tcPr>
            <w:tcW w:w="470" w:type="pct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2025-2026г</w:t>
            </w:r>
          </w:p>
        </w:tc>
        <w:tc>
          <w:tcPr>
            <w:tcW w:w="89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Администрация Харайгунского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5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8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51" w:type="pct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289,5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3" w:type="pc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1160" w:type="pct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Приобретение спортивной формы для муниципальной спортивных командХарайгунского МО</w:t>
            </w:r>
          </w:p>
        </w:tc>
        <w:tc>
          <w:tcPr>
            <w:tcW w:w="470" w:type="pct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2024-2026г</w:t>
            </w:r>
          </w:p>
          <w:p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Администрация  Харайгунского МО, КДЦ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5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8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1" w:type="pct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3" w:type="pc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1160" w:type="pct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rPr>
                <w:rFonts w:hint="default" w:ascii="Times New Roman" w:hAnsi="Times New Roman" w:cs="Times New Roman"/>
                <w:b w:val="0"/>
                <w:bCs w:val="0"/>
                <w:spacing w:val="5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  <w:lang w:val="ru-RU"/>
              </w:rPr>
              <w:t>Строительство</w:t>
            </w:r>
            <w:r>
              <w:rPr>
                <w:rFonts w:hint="default" w:ascii="Times New Roman" w:hAnsi="Times New Roman" w:cs="Times New Roman"/>
                <w:b w:val="0"/>
                <w:bCs w:val="0"/>
                <w:spacing w:val="5"/>
                <w:lang w:val="ru-RU"/>
              </w:rPr>
              <w:t xml:space="preserve"> хоккейного корта </w:t>
            </w:r>
          </w:p>
        </w:tc>
        <w:tc>
          <w:tcPr>
            <w:tcW w:w="470" w:type="pct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2024-2026 годы</w:t>
            </w:r>
          </w:p>
        </w:tc>
        <w:tc>
          <w:tcPr>
            <w:tcW w:w="89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Администрация  Харайгунского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bCs w:val="0"/>
                <w:spacing w:val="5"/>
              </w:rPr>
              <w:t>-</w:t>
            </w: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05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8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1" w:type="pct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30,5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93" w:type="pc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1.15</w:t>
            </w:r>
          </w:p>
        </w:tc>
        <w:tc>
          <w:tcPr>
            <w:tcW w:w="1160" w:type="pct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</w:rPr>
              <w:t xml:space="preserve">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</w:t>
            </w:r>
            <w:r>
              <w:rPr>
                <w:rFonts w:ascii="Times New Roman" w:hAnsi="Times New Roman" w:cs="Times New Roman"/>
                <w:b w:val="0"/>
              </w:rPr>
              <w:t xml:space="preserve"> Иркутская область, Зиминский район, с.Харайгун ул. Центральная, 25А</w:t>
            </w:r>
          </w:p>
        </w:tc>
        <w:tc>
          <w:tcPr>
            <w:tcW w:w="470" w:type="pct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2024г</w:t>
            </w:r>
          </w:p>
        </w:tc>
        <w:tc>
          <w:tcPr>
            <w:tcW w:w="89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Cs/>
                <w:spacing w:val="5"/>
                <w:sz w:val="20"/>
                <w:szCs w:val="20"/>
              </w:rPr>
            </w:pPr>
            <w:r>
              <w:rPr>
                <w:bCs/>
                <w:spacing w:val="5"/>
                <w:sz w:val="20"/>
                <w:szCs w:val="20"/>
              </w:rPr>
              <w:t>Администрация  Харайгунского МО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bCs w:val="0"/>
                <w:spacing w:val="5"/>
              </w:rPr>
            </w:pPr>
          </w:p>
        </w:tc>
        <w:tc>
          <w:tcPr>
            <w:tcW w:w="209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01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08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96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05" w:type="pct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28" w:type="pct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4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320,0</w:t>
            </w:r>
          </w:p>
        </w:tc>
        <w:tc>
          <w:tcPr>
            <w:tcW w:w="251" w:type="pct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231" w:type="pct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719" w:type="pct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bCs/>
                <w:spacing w:val="5"/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ИТОГО</w:t>
            </w:r>
          </w:p>
        </w:tc>
        <w:tc>
          <w:tcPr>
            <w:tcW w:w="31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jc w:val="center"/>
              <w:rPr>
                <w:rFonts w:ascii="Times New Roman" w:hAnsi="Times New Roman" w:cs="Times New Roman"/>
                <w:bCs w:val="0"/>
                <w:spacing w:val="5"/>
              </w:rPr>
            </w:pPr>
            <w:r>
              <w:rPr>
                <w:rFonts w:ascii="Times New Roman" w:hAnsi="Times New Roman" w:cs="Times New Roman"/>
                <w:bCs w:val="0"/>
                <w:spacing w:val="5"/>
              </w:rPr>
              <w:t>960,0</w:t>
            </w:r>
          </w:p>
        </w:tc>
        <w:tc>
          <w:tcPr>
            <w:tcW w:w="20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widowControl/>
              <w:ind w:right="0"/>
              <w:rPr>
                <w:rFonts w:ascii="Times New Roman" w:hAnsi="Times New Roman" w:cs="Times New Roman"/>
                <w:bCs w:val="0"/>
                <w:spacing w:val="5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1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9"/>
              <w:ind w:right="-114"/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auto"/>
                <w:sz w:val="20"/>
                <w:szCs w:val="20"/>
              </w:rPr>
              <w:t>0,0</w:t>
            </w:r>
          </w:p>
        </w:tc>
        <w:tc>
          <w:tcPr>
            <w:tcW w:w="208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9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205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228" w:type="pct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24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320,0</w:t>
            </w:r>
          </w:p>
        </w:tc>
        <w:tc>
          <w:tcPr>
            <w:tcW w:w="251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320,0</w:t>
            </w:r>
          </w:p>
        </w:tc>
        <w:tc>
          <w:tcPr>
            <w:tcW w:w="23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320,0</w:t>
            </w:r>
          </w:p>
        </w:tc>
      </w:tr>
    </w:tbl>
    <w:p>
      <w:pPr>
        <w:rPr>
          <w:sz w:val="20"/>
          <w:szCs w:val="20"/>
        </w:rPr>
      </w:pPr>
    </w:p>
    <w:p>
      <w:pPr>
        <w:rPr>
          <w:sz w:val="28"/>
          <w:szCs w:val="28"/>
        </w:rPr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ЦЕЛЕВЫЕ ПОКАЗАТЕЛИ МУНИЦИПАЛЬНОЙ ПРОГРАММЫ</w:t>
      </w:r>
    </w:p>
    <w:p>
      <w:pPr>
        <w:pStyle w:val="21"/>
        <w:jc w:val="center"/>
        <w:rPr>
          <w:sz w:val="28"/>
          <w:szCs w:val="28"/>
        </w:rPr>
      </w:pPr>
      <w:r>
        <w:rPr>
          <w:sz w:val="28"/>
          <w:szCs w:val="28"/>
        </w:rPr>
        <w:t>Планируемые целевые показатели муниципальной программы</w:t>
      </w:r>
    </w:p>
    <w:tbl>
      <w:tblPr>
        <w:tblStyle w:val="12"/>
        <w:tblpPr w:leftFromText="180" w:rightFromText="180" w:vertAnchor="text" w:horzAnchor="margin" w:tblpXSpec="center" w:tblpY="240"/>
        <w:tblW w:w="95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3725"/>
        <w:gridCol w:w="691"/>
        <w:gridCol w:w="1243"/>
        <w:gridCol w:w="1105"/>
        <w:gridCol w:w="1105"/>
        <w:gridCol w:w="1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526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2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целевого индикатора</w:t>
            </w:r>
          </w:p>
        </w:tc>
        <w:tc>
          <w:tcPr>
            <w:tcW w:w="691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Ед.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изм.</w:t>
            </w:r>
          </w:p>
        </w:tc>
        <w:tc>
          <w:tcPr>
            <w:tcW w:w="1243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2023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(отчетный год)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2024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(прогноз)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2025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(прогноз)</w:t>
            </w:r>
          </w:p>
        </w:tc>
        <w:tc>
          <w:tcPr>
            <w:tcW w:w="1150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2026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(прогноз)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526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3725" w:type="dxa"/>
          </w:tcPr>
          <w:p>
            <w:pPr>
              <w:pStyle w:val="25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Харайгунского МО, занимающихся физической культурой и спором по месту трудовой деятельности, в общей численности населения, занятого в экономике;</w:t>
            </w:r>
          </w:p>
        </w:tc>
        <w:tc>
          <w:tcPr>
            <w:tcW w:w="691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43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62</w:t>
            </w:r>
          </w:p>
        </w:tc>
        <w:tc>
          <w:tcPr>
            <w:tcW w:w="1150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6" w:hRule="atLeast"/>
        </w:trPr>
        <w:tc>
          <w:tcPr>
            <w:tcW w:w="526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3725" w:type="dxa"/>
          </w:tcPr>
          <w:p>
            <w:pPr>
              <w:pStyle w:val="25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обучающихся и студентов, занимающихся физической культурой и спортом, в общей численности обучающихся и студентов (из расчета численности занимающихся физической культурой и спортом в возрасте от 6 до 29 лет);</w:t>
            </w:r>
          </w:p>
        </w:tc>
        <w:tc>
          <w:tcPr>
            <w:tcW w:w="691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43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23,5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28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42</w:t>
            </w:r>
          </w:p>
        </w:tc>
        <w:tc>
          <w:tcPr>
            <w:tcW w:w="1150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526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both"/>
            </w:pPr>
            <w:r>
              <w:t>3</w:t>
            </w:r>
          </w:p>
        </w:tc>
        <w:tc>
          <w:tcPr>
            <w:tcW w:w="372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</w:pPr>
            <w:r>
              <w:t>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Харайгунского МО);</w:t>
            </w:r>
          </w:p>
        </w:tc>
        <w:tc>
          <w:tcPr>
            <w:tcW w:w="691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43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1,5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1,8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0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1,9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526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both"/>
            </w:pPr>
            <w:r>
              <w:t>4</w:t>
            </w:r>
          </w:p>
        </w:tc>
        <w:tc>
          <w:tcPr>
            <w:tcW w:w="3725" w:type="dxa"/>
          </w:tcPr>
          <w:p>
            <w:pPr>
              <w:pStyle w:val="35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Единовременная пропускная способность объектов спорта, введенных в эксплуатацию в рамках Программы;</w:t>
            </w:r>
          </w:p>
          <w:p>
            <w:pPr>
              <w:pStyle w:val="21"/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1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</w:pPr>
            <w:r>
              <w:t>человек</w:t>
            </w:r>
          </w:p>
        </w:tc>
        <w:tc>
          <w:tcPr>
            <w:tcW w:w="1243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55</w:t>
            </w:r>
          </w:p>
        </w:tc>
        <w:tc>
          <w:tcPr>
            <w:tcW w:w="1150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26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both"/>
            </w:pPr>
            <w:r>
              <w:t>5</w:t>
            </w:r>
          </w:p>
        </w:tc>
        <w:tc>
          <w:tcPr>
            <w:tcW w:w="3725" w:type="dxa"/>
          </w:tcPr>
          <w:p>
            <w:r>
              <w:t>Количество спортивных объектов на  территории поселения</w:t>
            </w:r>
          </w:p>
        </w:tc>
        <w:tc>
          <w:tcPr>
            <w:tcW w:w="691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Ед.</w:t>
            </w:r>
          </w:p>
        </w:tc>
        <w:tc>
          <w:tcPr>
            <w:tcW w:w="1243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05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1150" w:type="dxa"/>
          </w:tcPr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</w:p>
          <w:p>
            <w:pPr>
              <w:pStyle w:val="21"/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</w:tr>
    </w:tbl>
    <w:p>
      <w:pPr>
        <w:pStyle w:val="21"/>
        <w:jc w:val="center"/>
        <w:rPr>
          <w:sz w:val="28"/>
          <w:szCs w:val="28"/>
        </w:rPr>
      </w:pPr>
    </w:p>
    <w:p>
      <w:pPr>
        <w:pStyle w:val="3"/>
        <w:numPr>
          <w:ilvl w:val="0"/>
          <w:numId w:val="3"/>
        </w:numPr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МЕХАНИЗМ РЕАЛИЗАЦИИ МУНИЦИПАЛЬНОЙ ПРОГРАММЫ И КОНТРОЛЬ ЗА ХОДОМ ЕЕ РЕАЛИЗАЦИИ</w:t>
      </w:r>
    </w:p>
    <w:p>
      <w:pPr>
        <w:pStyle w:val="21"/>
        <w:jc w:val="center"/>
        <w:rPr>
          <w:b/>
          <w:sz w:val="28"/>
          <w:szCs w:val="28"/>
        </w:rPr>
      </w:pP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исполнителями муниципальной программы, предусматривающих содействие в улучшении материально-технического обеспечения образовательных организаций, муниципального образования осуществляется с учетом потребностей и уровнем развития спортивной инфраструктуры муниципального образования.Перечень таких учреждений, нуждающихся в материально-техническомобеспечении, формируется ответственным исполнителем муниципальной программы при наличии: 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-заявки от образовательной организации, культурно-досугового учреждения муниципального образования о необходимости и потребности в материально-техническом обеспечении;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-социально-экономического обоснования с развернутым описанием характера проблемы, ожидаемых результатов в соответствии с целевыми индикаторами настоящей муниципальной программы.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этом,материально-технические средства приобретаются ответственным исполнителеммуниципальной программы и передаются в установленном законодательством порядке.  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муниципальной программы формируется ответственным исполнителеммуниципальной программы с учетом потребностей муниципального образования в развитии спортивной инфраструктуры. Необходимыми условиями включения объектов физической культуры муниципального образованияв муниципальную программу являются: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-социально-экономическое обоснование строительства (реконструкции, капитального, косметического ремонта) объекта с развернутым описанием характера проблемы, ожидаемых результатов в соответствии с целевыми индикаторами настоящей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Совет по физической культуре муниципального образования осуществляет координацию деятельности по реализации мероприятий муниципальной программы, а также контроль по целевому и эффективному расходованию бюджетных средств.Основные сведения о результатах реализации муниципальной программы, выполнении целевых показателей, объеме использованных средств, а также о результатах мониторинга реализации мероприятий муниципальной программы публикуются ответственным исполнителеммуниципальной программы в периодическом издании органа местного самоуправления газете «</w:t>
      </w:r>
      <w:r>
        <w:rPr>
          <w:color w:val="000000" w:themeColor="text1"/>
          <w:sz w:val="28"/>
          <w:szCs w:val="28"/>
        </w:rPr>
        <w:t>Информационный вестник</w:t>
      </w:r>
      <w:r>
        <w:rPr>
          <w:sz w:val="28"/>
          <w:szCs w:val="28"/>
        </w:rPr>
        <w:t xml:space="preserve">» не реже 2 раз в год 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исполнительмуниципальной программы: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-формирует бюджетные заявки и обоснования на включение мероприятий муниципальной программы в местный бюджет на соответствующий финансовый год;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-в установленном законодательством порядке заключаетмуниципальные контракты (договора) с хозяйствующими субъектами в целях реализации муниципальной программы или ее отдельных мероприятий;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-участвуют в обсуждении вопросов, связанных с реализацией и финансированием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-разрабатывает перечень и ежегодно устанавливает (корректирует)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-готовит ежегодно в установленном порядке предложения по уточнению перечня мероприятий муниципальной программы на соответствующий финансовый год, предложения по реализации муниципальной программы, уточняет расходы по мероприятиям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-несет ответственность за обеспечение своевременной и качественной реализации муниципальной программы, за эффективное использование средств, выделяемых на ее реализацию;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-осуществляет иные полномочия, установленные действующим законодательством.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муниципальной программы несет ответственность за реализацию муниципальной программы в целом.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и контрольза реализацией муниципальной программы, осуществляются специально созданнымСоветом по физической культуре и спорту при администрации муниципального образования.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обеспечения контроля за ходом реализации муниципальной программы ответственный исполнитель: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 отчитывается о ходе курируемых мероприятий муниципальной программы и организует заседания Совета – ежеквартально;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направляет муниципальному образованию необходимую информацию о реализации муниципальной программы– по запросам;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текущий контроль, мониторинг реализацией муниципальной программы в целом и несет ответственность за эффективность реализации муниципальной программы и целевое использование выделенных им бюджетных средств на реализацию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срок до 1 марта года, следующего заотчетным, а так 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программы.</w:t>
      </w:r>
    </w:p>
    <w:p>
      <w:pPr>
        <w:pStyle w:val="21"/>
        <w:jc w:val="both"/>
        <w:rPr>
          <w:sz w:val="28"/>
          <w:szCs w:val="28"/>
        </w:rPr>
      </w:pPr>
    </w:p>
    <w:p>
      <w:pPr>
        <w:pStyle w:val="21"/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ОЦЕНКА ЭФФЕКТИВНОСТИ РЕАЛИЗАЦИИ МУНИЦИПАЛЬНОЙ ПРОГРАММЫ</w:t>
      </w:r>
    </w:p>
    <w:p>
      <w:pPr>
        <w:pStyle w:val="21"/>
        <w:jc w:val="center"/>
        <w:rPr>
          <w:sz w:val="28"/>
          <w:szCs w:val="28"/>
        </w:rPr>
      </w:pP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Критериями оценки эффективности реализации муниципальной программы являются: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 Степень достижения запланированных результатов реализации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 процент отклонения достигнутых значений показателей результативности от плановых значений;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динамика расходов на реализацию муниципальной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 динамика показателей эффективности и результативности реализации муниципальной программы.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значениями, формируются абсолютные и относительные отклонения.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существенных различий (как положительных, так и отрицательных) между плановыми и фактическими значениями показателей проводится анализ факторов, повлиявших на данное расхождение. Для каждой группы факторов, внутренних и внешних, оценивается их влияние на отклонение показателя от плановых значений.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(социальных, экономических, бюджетных и иных) и фактических объемов расходов на их достижение.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Социальная эффективность определяется как отношение полученных благоприятных социальных результатов к затратам на их достижение.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средств.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результатов.</w:t>
      </w:r>
    </w:p>
    <w:p>
      <w:pPr>
        <w:framePr w:hSpace="180" w:wrap="around" w:vAnchor="text" w:hAnchor="margin" w:y="153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муниципальной программы позволит к 2026 году по отношению к результатам 2023 года:</w:t>
      </w:r>
    </w:p>
    <w:p>
      <w:pPr>
        <w:pStyle w:val="37"/>
        <w:framePr w:hSpace="180" w:wrap="around" w:vAnchor="text" w:hAnchor="margin" w:y="15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Доля граждан Харайгунского МО, занимающихся физической культурой и спортом по месту проживания в общей численности населения с 42% в 2022 году до 70 % к 2026 году;</w:t>
      </w:r>
    </w:p>
    <w:p>
      <w:pPr>
        <w:framePr w:hSpace="180" w:wrap="around" w:vAnchor="text" w:hAnchor="margin" w:y="1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Доля детей и подростков, занимающихся физической культурой и спортом, в общей численности детей и подростков (из расчета численности занимающихся физической культурой и спортом в возрасте от 6 до 29 лет) с 23,5 % в 2022 году до 48 % к 2026 году; </w:t>
      </w:r>
    </w:p>
    <w:p>
      <w:pPr>
        <w:framePr w:hSpace="180" w:wrap="around" w:vAnchor="text" w:hAnchor="margin" w:y="153"/>
        <w:jc w:val="both"/>
        <w:rPr>
          <w:sz w:val="28"/>
          <w:szCs w:val="28"/>
        </w:rPr>
      </w:pPr>
      <w:r>
        <w:rPr>
          <w:sz w:val="28"/>
          <w:szCs w:val="28"/>
        </w:rPr>
        <w:t>3. Доля спортсменов-инвалидов, занимающихся физической культурой и спортом (% инвалидов, занимающихся физической культурой и спортом, от общей численности инвалидов в Харайгунском МО) увеличить с 1% до 2 % от общей численности населения.</w:t>
      </w:r>
    </w:p>
    <w:p>
      <w:pPr>
        <w:framePr w:hSpace="180" w:wrap="around" w:vAnchor="text" w:hAnchor="margin" w:y="153"/>
        <w:jc w:val="both"/>
        <w:rPr>
          <w:sz w:val="28"/>
          <w:szCs w:val="28"/>
        </w:rPr>
      </w:pPr>
    </w:p>
    <w:p>
      <w:pPr>
        <w:pStyle w:val="35"/>
        <w:framePr w:hSpace="180" w:wrap="around" w:vAnchor="text" w:hAnchor="margin" w:y="15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4.Увеличение единовременной пропускной способности объектов спорта, введенных в эксплуатацию в рамках Программы;</w:t>
      </w:r>
    </w:p>
    <w:p>
      <w:pPr>
        <w:pStyle w:val="2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Увеличение количества спортивных объектов к 2026 году до 4.</w:t>
      </w:r>
    </w:p>
    <w:p>
      <w:pPr>
        <w:pStyle w:val="21"/>
        <w:jc w:val="both"/>
        <w:rPr>
          <w:b/>
          <w:sz w:val="28"/>
          <w:szCs w:val="28"/>
        </w:rPr>
      </w:pPr>
    </w:p>
    <w:p>
      <w:pPr>
        <w:pStyle w:val="21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ОРГАНИЗАЦИЯ УПРАВЛЕНИЯ И КОНТРОЛЬ ЗА ХОДОМ РЕАЛИЗАЦИИ МУНИЦИПАЛЬНОЙ ПРОГРАММЫ</w:t>
      </w:r>
    </w:p>
    <w:p>
      <w:pPr>
        <w:pStyle w:val="35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35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по физической культуре и спорту при администрации Харайгунского муниципального образования осуществляет контроль по реализации программы в пределах своих полномочий, определенных Положением «О деятельности Совета по физической культуре и спорту».</w:t>
      </w:r>
    </w:p>
    <w:p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программы осуществляется на основе контрактов, заключаемых в соответствии с Федеральным -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>
      <w:pPr>
        <w:pStyle w:val="25"/>
        <w:widowControl/>
        <w:spacing w:line="232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21"/>
        <w:rPr>
          <w:color w:val="000000"/>
          <w:sz w:val="28"/>
          <w:szCs w:val="28"/>
        </w:rPr>
      </w:pPr>
    </w:p>
    <w:p>
      <w:pPr>
        <w:pStyle w:val="21"/>
        <w:rPr>
          <w:color w:val="000000"/>
          <w:sz w:val="28"/>
          <w:szCs w:val="28"/>
        </w:rPr>
      </w:pPr>
    </w:p>
    <w:p>
      <w:pPr>
        <w:pStyle w:val="25"/>
        <w:widowControl/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atang">
    <w:altName w:val="Adobe Myungjo Std M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A41DAD"/>
    <w:multiLevelType w:val="multilevel"/>
    <w:tmpl w:val="2AA41DAD"/>
    <w:lvl w:ilvl="0" w:tentative="0">
      <w:start w:val="1"/>
      <w:numFmt w:val="decimal"/>
      <w:lvlText w:val="%1."/>
      <w:lvlJc w:val="left"/>
      <w:pPr>
        <w:ind w:left="786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B951A8"/>
    <w:multiLevelType w:val="multilevel"/>
    <w:tmpl w:val="34B951A8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default" w:cs="Times New Roman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718"/>
        </w:tabs>
        <w:ind w:left="718" w:hanging="576"/>
      </w:pPr>
      <w:rPr>
        <w:rFonts w:cs="Times New Roman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2">
    <w:nsid w:val="39FC4B2E"/>
    <w:multiLevelType w:val="multilevel"/>
    <w:tmpl w:val="39FC4B2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82C77"/>
    <w:multiLevelType w:val="multilevel"/>
    <w:tmpl w:val="3F282C7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8C4BF3"/>
    <w:multiLevelType w:val="multilevel"/>
    <w:tmpl w:val="508C4BF3"/>
    <w:lvl w:ilvl="0" w:tentative="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661FF7"/>
    <w:multiLevelType w:val="multilevel"/>
    <w:tmpl w:val="66661FF7"/>
    <w:lvl w:ilvl="0" w:tentative="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0377E"/>
    <w:rsid w:val="00000D57"/>
    <w:rsid w:val="00010FDF"/>
    <w:rsid w:val="000118EE"/>
    <w:rsid w:val="0002411F"/>
    <w:rsid w:val="00036C44"/>
    <w:rsid w:val="00041F66"/>
    <w:rsid w:val="00050C2A"/>
    <w:rsid w:val="00057DC5"/>
    <w:rsid w:val="000714A6"/>
    <w:rsid w:val="000844DC"/>
    <w:rsid w:val="0009334F"/>
    <w:rsid w:val="000C45E5"/>
    <w:rsid w:val="000D59FF"/>
    <w:rsid w:val="000D772E"/>
    <w:rsid w:val="000E7839"/>
    <w:rsid w:val="000F0D36"/>
    <w:rsid w:val="001009A2"/>
    <w:rsid w:val="001143D8"/>
    <w:rsid w:val="00116F5C"/>
    <w:rsid w:val="001272CA"/>
    <w:rsid w:val="001404E0"/>
    <w:rsid w:val="00144460"/>
    <w:rsid w:val="00165C11"/>
    <w:rsid w:val="001711A6"/>
    <w:rsid w:val="00182206"/>
    <w:rsid w:val="00183AB9"/>
    <w:rsid w:val="00186A58"/>
    <w:rsid w:val="00192346"/>
    <w:rsid w:val="0019625B"/>
    <w:rsid w:val="00197CA6"/>
    <w:rsid w:val="001A1BBD"/>
    <w:rsid w:val="001B7AB4"/>
    <w:rsid w:val="001D1D1A"/>
    <w:rsid w:val="001E0245"/>
    <w:rsid w:val="001E4EB7"/>
    <w:rsid w:val="001E6E8D"/>
    <w:rsid w:val="001F22BB"/>
    <w:rsid w:val="001F4231"/>
    <w:rsid w:val="002153CD"/>
    <w:rsid w:val="00215767"/>
    <w:rsid w:val="00225718"/>
    <w:rsid w:val="00232A9A"/>
    <w:rsid w:val="00232CFF"/>
    <w:rsid w:val="00236C76"/>
    <w:rsid w:val="00237DFB"/>
    <w:rsid w:val="00242C6F"/>
    <w:rsid w:val="00247C55"/>
    <w:rsid w:val="00252BD0"/>
    <w:rsid w:val="002561C9"/>
    <w:rsid w:val="002649AA"/>
    <w:rsid w:val="002819F6"/>
    <w:rsid w:val="00290108"/>
    <w:rsid w:val="002A1A96"/>
    <w:rsid w:val="002B1045"/>
    <w:rsid w:val="002B2330"/>
    <w:rsid w:val="002C6109"/>
    <w:rsid w:val="002D1D92"/>
    <w:rsid w:val="002D4E4E"/>
    <w:rsid w:val="002E01F6"/>
    <w:rsid w:val="002F2166"/>
    <w:rsid w:val="0030377E"/>
    <w:rsid w:val="003278CE"/>
    <w:rsid w:val="00333689"/>
    <w:rsid w:val="00334522"/>
    <w:rsid w:val="00336D50"/>
    <w:rsid w:val="003535F4"/>
    <w:rsid w:val="003638AB"/>
    <w:rsid w:val="00380C59"/>
    <w:rsid w:val="003A05D2"/>
    <w:rsid w:val="003A3781"/>
    <w:rsid w:val="003B57F8"/>
    <w:rsid w:val="003D0125"/>
    <w:rsid w:val="003D1671"/>
    <w:rsid w:val="003D7EF4"/>
    <w:rsid w:val="003E48E4"/>
    <w:rsid w:val="003F4597"/>
    <w:rsid w:val="003F660D"/>
    <w:rsid w:val="0040624C"/>
    <w:rsid w:val="00427F9E"/>
    <w:rsid w:val="00433F89"/>
    <w:rsid w:val="0043514D"/>
    <w:rsid w:val="004744DA"/>
    <w:rsid w:val="00491D72"/>
    <w:rsid w:val="00496D31"/>
    <w:rsid w:val="00497A95"/>
    <w:rsid w:val="004D7C17"/>
    <w:rsid w:val="004E3A55"/>
    <w:rsid w:val="004F1B00"/>
    <w:rsid w:val="004F4A3D"/>
    <w:rsid w:val="00503178"/>
    <w:rsid w:val="00512FA3"/>
    <w:rsid w:val="00533C08"/>
    <w:rsid w:val="00536697"/>
    <w:rsid w:val="005420D6"/>
    <w:rsid w:val="00543267"/>
    <w:rsid w:val="00556487"/>
    <w:rsid w:val="00581EDE"/>
    <w:rsid w:val="005B4A08"/>
    <w:rsid w:val="005D3735"/>
    <w:rsid w:val="005F2110"/>
    <w:rsid w:val="005F3057"/>
    <w:rsid w:val="005F6386"/>
    <w:rsid w:val="00600FC0"/>
    <w:rsid w:val="00605948"/>
    <w:rsid w:val="00612938"/>
    <w:rsid w:val="00614931"/>
    <w:rsid w:val="00622653"/>
    <w:rsid w:val="00630FF4"/>
    <w:rsid w:val="006350F3"/>
    <w:rsid w:val="00643CD8"/>
    <w:rsid w:val="006475A0"/>
    <w:rsid w:val="00647E3E"/>
    <w:rsid w:val="0065176C"/>
    <w:rsid w:val="006539EE"/>
    <w:rsid w:val="00675EDC"/>
    <w:rsid w:val="00684F88"/>
    <w:rsid w:val="0068598E"/>
    <w:rsid w:val="00685C84"/>
    <w:rsid w:val="006904E1"/>
    <w:rsid w:val="006944BA"/>
    <w:rsid w:val="006A2657"/>
    <w:rsid w:val="006A3767"/>
    <w:rsid w:val="006A4601"/>
    <w:rsid w:val="006B2C28"/>
    <w:rsid w:val="006B706F"/>
    <w:rsid w:val="006C687B"/>
    <w:rsid w:val="006D2DD7"/>
    <w:rsid w:val="006D597C"/>
    <w:rsid w:val="006F6E4B"/>
    <w:rsid w:val="007054F6"/>
    <w:rsid w:val="00726E81"/>
    <w:rsid w:val="007306BE"/>
    <w:rsid w:val="00736912"/>
    <w:rsid w:val="00742D59"/>
    <w:rsid w:val="00743FD3"/>
    <w:rsid w:val="00762000"/>
    <w:rsid w:val="00793FC1"/>
    <w:rsid w:val="007965DC"/>
    <w:rsid w:val="007A4814"/>
    <w:rsid w:val="007A5A49"/>
    <w:rsid w:val="007A7541"/>
    <w:rsid w:val="007D31DD"/>
    <w:rsid w:val="007E40B4"/>
    <w:rsid w:val="007E55E2"/>
    <w:rsid w:val="007F1834"/>
    <w:rsid w:val="00820EDE"/>
    <w:rsid w:val="00824BFA"/>
    <w:rsid w:val="008309E5"/>
    <w:rsid w:val="00856DC7"/>
    <w:rsid w:val="00885684"/>
    <w:rsid w:val="0089317B"/>
    <w:rsid w:val="008A16C7"/>
    <w:rsid w:val="008A7FFD"/>
    <w:rsid w:val="008C4563"/>
    <w:rsid w:val="008D2D56"/>
    <w:rsid w:val="008D527B"/>
    <w:rsid w:val="008F44BA"/>
    <w:rsid w:val="008F5F47"/>
    <w:rsid w:val="00901D48"/>
    <w:rsid w:val="00910503"/>
    <w:rsid w:val="00921526"/>
    <w:rsid w:val="00931A69"/>
    <w:rsid w:val="00970ABE"/>
    <w:rsid w:val="0097160F"/>
    <w:rsid w:val="009744C0"/>
    <w:rsid w:val="00997DC3"/>
    <w:rsid w:val="009B7E4B"/>
    <w:rsid w:val="009E1BBD"/>
    <w:rsid w:val="009F5469"/>
    <w:rsid w:val="00A17067"/>
    <w:rsid w:val="00A303D4"/>
    <w:rsid w:val="00A3643C"/>
    <w:rsid w:val="00A43882"/>
    <w:rsid w:val="00A43E41"/>
    <w:rsid w:val="00A4506C"/>
    <w:rsid w:val="00A62D93"/>
    <w:rsid w:val="00A67EF5"/>
    <w:rsid w:val="00A77FED"/>
    <w:rsid w:val="00A869DD"/>
    <w:rsid w:val="00A96579"/>
    <w:rsid w:val="00AD2124"/>
    <w:rsid w:val="00AE0F88"/>
    <w:rsid w:val="00AE4894"/>
    <w:rsid w:val="00AF5434"/>
    <w:rsid w:val="00B20221"/>
    <w:rsid w:val="00B228B0"/>
    <w:rsid w:val="00B24ED9"/>
    <w:rsid w:val="00B475B7"/>
    <w:rsid w:val="00B5279F"/>
    <w:rsid w:val="00B66D0D"/>
    <w:rsid w:val="00B71C0A"/>
    <w:rsid w:val="00B87ED9"/>
    <w:rsid w:val="00B94C96"/>
    <w:rsid w:val="00B9698F"/>
    <w:rsid w:val="00BA4645"/>
    <w:rsid w:val="00BC2853"/>
    <w:rsid w:val="00BD4CC2"/>
    <w:rsid w:val="00BE0F81"/>
    <w:rsid w:val="00BE16ED"/>
    <w:rsid w:val="00BE6AD4"/>
    <w:rsid w:val="00BF4782"/>
    <w:rsid w:val="00C016AE"/>
    <w:rsid w:val="00C121EE"/>
    <w:rsid w:val="00C21E08"/>
    <w:rsid w:val="00C23088"/>
    <w:rsid w:val="00C23F45"/>
    <w:rsid w:val="00C60663"/>
    <w:rsid w:val="00C65E0B"/>
    <w:rsid w:val="00C775BA"/>
    <w:rsid w:val="00C872DC"/>
    <w:rsid w:val="00CC22E9"/>
    <w:rsid w:val="00CD0030"/>
    <w:rsid w:val="00CD3751"/>
    <w:rsid w:val="00CD684E"/>
    <w:rsid w:val="00CE0873"/>
    <w:rsid w:val="00CE1612"/>
    <w:rsid w:val="00CF0736"/>
    <w:rsid w:val="00D02FD2"/>
    <w:rsid w:val="00D0358A"/>
    <w:rsid w:val="00D03DEB"/>
    <w:rsid w:val="00D32EE4"/>
    <w:rsid w:val="00D35440"/>
    <w:rsid w:val="00D45214"/>
    <w:rsid w:val="00D64F2E"/>
    <w:rsid w:val="00DB06D0"/>
    <w:rsid w:val="00DC4ECE"/>
    <w:rsid w:val="00DC636B"/>
    <w:rsid w:val="00DC6CE2"/>
    <w:rsid w:val="00DD38F4"/>
    <w:rsid w:val="00E06685"/>
    <w:rsid w:val="00E1360D"/>
    <w:rsid w:val="00E23B8A"/>
    <w:rsid w:val="00E27878"/>
    <w:rsid w:val="00E41804"/>
    <w:rsid w:val="00E5500B"/>
    <w:rsid w:val="00E57F26"/>
    <w:rsid w:val="00E743DE"/>
    <w:rsid w:val="00E825FA"/>
    <w:rsid w:val="00E84E16"/>
    <w:rsid w:val="00E87F86"/>
    <w:rsid w:val="00E914E8"/>
    <w:rsid w:val="00EA06E2"/>
    <w:rsid w:val="00EA1EB8"/>
    <w:rsid w:val="00EA3D50"/>
    <w:rsid w:val="00EB1666"/>
    <w:rsid w:val="00EC7157"/>
    <w:rsid w:val="00ED7B71"/>
    <w:rsid w:val="00EF16F8"/>
    <w:rsid w:val="00F1787B"/>
    <w:rsid w:val="00F205B5"/>
    <w:rsid w:val="00F30778"/>
    <w:rsid w:val="00F35F1F"/>
    <w:rsid w:val="00F40E5A"/>
    <w:rsid w:val="00F44278"/>
    <w:rsid w:val="00F6078C"/>
    <w:rsid w:val="00F62F81"/>
    <w:rsid w:val="00F907A8"/>
    <w:rsid w:val="00F9126A"/>
    <w:rsid w:val="00FA238F"/>
    <w:rsid w:val="00FA3A62"/>
    <w:rsid w:val="00FB3CC5"/>
    <w:rsid w:val="00FD00E9"/>
    <w:rsid w:val="00FD3D1B"/>
    <w:rsid w:val="00FE5016"/>
    <w:rsid w:val="1DC04D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" w:semiHidden="0" w:name="heading 6"/>
    <w:lsdException w:qFormat="1" w:unhideWhenUsed="0" w:uiPriority="9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99"/>
    <w:pPr>
      <w:pageBreakBefore/>
      <w:numPr>
        <w:ilvl w:val="0"/>
        <w:numId w:val="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qFormat/>
    <w:uiPriority w:val="99"/>
    <w:pPr>
      <w:numPr>
        <w:ilvl w:val="1"/>
        <w:numId w:val="1"/>
      </w:numPr>
      <w:spacing w:before="240" w:after="24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qFormat/>
    <w:uiPriority w:val="99"/>
    <w:pPr>
      <w:numPr>
        <w:ilvl w:val="2"/>
        <w:numId w:val="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4"/>
    <w:basedOn w:val="1"/>
    <w:next w:val="1"/>
    <w:link w:val="29"/>
    <w:autoRedefine/>
    <w:qFormat/>
    <w:uiPriority w:val="99"/>
    <w:pPr>
      <w:numPr>
        <w:ilvl w:val="3"/>
        <w:numId w:val="1"/>
      </w:numPr>
      <w:spacing w:before="240" w:after="60"/>
      <w:jc w:val="both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qFormat/>
    <w:uiPriority w:val="99"/>
    <w:pPr>
      <w:numPr>
        <w:ilvl w:val="4"/>
        <w:numId w:val="1"/>
      </w:num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qFormat/>
    <w:uiPriority w:val="9"/>
    <w:pPr>
      <w:numPr>
        <w:ilvl w:val="5"/>
        <w:numId w:val="1"/>
      </w:numPr>
      <w:spacing w:before="240" w:after="60"/>
      <w:jc w:val="both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32"/>
    <w:qFormat/>
    <w:uiPriority w:val="99"/>
    <w:pPr>
      <w:numPr>
        <w:ilvl w:val="6"/>
        <w:numId w:val="1"/>
      </w:numPr>
      <w:spacing w:before="240" w:after="60"/>
      <w:jc w:val="both"/>
      <w:outlineLvl w:val="6"/>
    </w:pPr>
  </w:style>
  <w:style w:type="paragraph" w:styleId="9">
    <w:name w:val="heading 8"/>
    <w:basedOn w:val="1"/>
    <w:next w:val="1"/>
    <w:link w:val="33"/>
    <w:qFormat/>
    <w:uiPriority w:val="9"/>
    <w:pPr>
      <w:numPr>
        <w:ilvl w:val="7"/>
        <w:numId w:val="1"/>
      </w:numPr>
      <w:spacing w:before="240" w:after="60"/>
      <w:jc w:val="both"/>
      <w:outlineLvl w:val="7"/>
    </w:pPr>
    <w:rPr>
      <w:i/>
      <w:iCs/>
    </w:rPr>
  </w:style>
  <w:style w:type="paragraph" w:styleId="10">
    <w:name w:val="heading 9"/>
    <w:basedOn w:val="1"/>
    <w:next w:val="1"/>
    <w:link w:val="34"/>
    <w:qFormat/>
    <w:uiPriority w:val="9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uiPriority w:val="0"/>
    <w:rPr>
      <w:color w:val="0000FF"/>
      <w:u w:val="single"/>
    </w:rPr>
  </w:style>
  <w:style w:type="paragraph" w:styleId="14">
    <w:name w:val="Balloon Text"/>
    <w:basedOn w:val="1"/>
    <w:link w:val="44"/>
    <w:semiHidden/>
    <w:unhideWhenUsed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43"/>
    <w:unhideWhenUsed/>
    <w:uiPriority w:val="0"/>
    <w:pPr>
      <w:autoSpaceDE w:val="0"/>
      <w:autoSpaceDN w:val="0"/>
      <w:adjustRightInd w:val="0"/>
      <w:jc w:val="both"/>
    </w:pPr>
    <w:rPr>
      <w:sz w:val="28"/>
      <w:szCs w:val="28"/>
    </w:rPr>
  </w:style>
  <w:style w:type="paragraph" w:styleId="16">
    <w:name w:val="header"/>
    <w:basedOn w:val="1"/>
    <w:link w:val="38"/>
    <w:uiPriority w:val="9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17">
    <w:name w:val="footer"/>
    <w:basedOn w:val="1"/>
    <w:link w:val="39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iPriority w:val="99"/>
    <w:pPr>
      <w:spacing w:before="100" w:beforeAutospacing="1" w:after="100" w:afterAutospacing="1"/>
    </w:pPr>
    <w:rPr>
      <w:rFonts w:ascii="Arial" w:hAnsi="Arial" w:cs="Arial"/>
      <w:color w:val="000000"/>
      <w:sz w:val="13"/>
      <w:szCs w:val="13"/>
    </w:rPr>
  </w:style>
  <w:style w:type="paragraph" w:styleId="19">
    <w:name w:val="Subtitle"/>
    <w:basedOn w:val="1"/>
    <w:next w:val="1"/>
    <w:link w:val="40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</w:rPr>
  </w:style>
  <w:style w:type="table" w:styleId="20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2">
    <w:name w:val="Font Style29"/>
    <w:uiPriority w:val="0"/>
    <w:rPr>
      <w:rFonts w:ascii="Times New Roman" w:hAnsi="Times New Roman" w:cs="Times New Roman"/>
      <w:sz w:val="18"/>
      <w:szCs w:val="18"/>
    </w:rPr>
  </w:style>
  <w:style w:type="paragraph" w:customStyle="1" w:styleId="23">
    <w:name w:val="ConsNormal"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24">
    <w:name w:val="ConsTitle"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25">
    <w:name w:val="ConsPlusCell"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26">
    <w:name w:val="Заголовок 1 Знак"/>
    <w:basedOn w:val="11"/>
    <w:link w:val="2"/>
    <w:uiPriority w:val="0"/>
    <w:rPr>
      <w:rFonts w:ascii="Arial" w:hAnsi="Arial" w:eastAsia="Times New Roman" w:cs="Arial"/>
      <w:b/>
      <w:bCs/>
      <w:kern w:val="32"/>
      <w:sz w:val="32"/>
      <w:szCs w:val="32"/>
      <w:lang w:eastAsia="ru-RU"/>
    </w:rPr>
  </w:style>
  <w:style w:type="character" w:customStyle="1" w:styleId="27">
    <w:name w:val="Заголовок 2 Знак"/>
    <w:basedOn w:val="11"/>
    <w:link w:val="3"/>
    <w:uiPriority w:val="99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customStyle="1" w:styleId="28">
    <w:name w:val="Заголовок 3 Знак"/>
    <w:basedOn w:val="11"/>
    <w:link w:val="4"/>
    <w:uiPriority w:val="99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customStyle="1" w:styleId="29">
    <w:name w:val="Заголовок 4 Знак"/>
    <w:basedOn w:val="11"/>
    <w:link w:val="5"/>
    <w:uiPriority w:val="9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5 Знак"/>
    <w:basedOn w:val="11"/>
    <w:link w:val="6"/>
    <w:uiPriority w:val="99"/>
    <w:rPr>
      <w:rFonts w:ascii="Times New Roman" w:hAnsi="Times New Roman"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31">
    <w:name w:val="Заголовок 6 Знак"/>
    <w:basedOn w:val="11"/>
    <w:link w:val="7"/>
    <w:uiPriority w:val="9"/>
    <w:rPr>
      <w:rFonts w:ascii="Times New Roman" w:hAnsi="Times New Roman" w:eastAsia="Times New Roman" w:cs="Times New Roman"/>
      <w:b/>
      <w:bCs/>
      <w:lang w:eastAsia="ru-RU"/>
    </w:rPr>
  </w:style>
  <w:style w:type="character" w:customStyle="1" w:styleId="32">
    <w:name w:val="Заголовок 7 Знак"/>
    <w:basedOn w:val="11"/>
    <w:link w:val="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33">
    <w:name w:val="Заголовок 8 Знак"/>
    <w:basedOn w:val="11"/>
    <w:link w:val="9"/>
    <w:uiPriority w:val="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34">
    <w:name w:val="Заголовок 9 Знак"/>
    <w:basedOn w:val="11"/>
    <w:link w:val="10"/>
    <w:uiPriority w:val="9"/>
    <w:rPr>
      <w:rFonts w:ascii="Arial" w:hAnsi="Arial" w:eastAsia="Times New Roman" w:cs="Arial"/>
      <w:lang w:eastAsia="ru-RU"/>
    </w:rPr>
  </w:style>
  <w:style w:type="paragraph" w:customStyle="1" w:styleId="35">
    <w:name w:val="ConsPlusNormal"/>
    <w:link w:val="36"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6">
    <w:name w:val="ConsPlusNormal Знак"/>
    <w:link w:val="35"/>
    <w:locked/>
    <w:uiPriority w:val="99"/>
    <w:rPr>
      <w:rFonts w:ascii="Arial" w:hAnsi="Arial" w:eastAsia="Times New Roman" w:cs="Arial"/>
      <w:sz w:val="20"/>
      <w:szCs w:val="20"/>
      <w:lang w:eastAsia="ru-RU"/>
    </w:rPr>
  </w:style>
  <w:style w:type="paragraph" w:styleId="37">
    <w:name w:val="List Paragraph"/>
    <w:basedOn w:val="1"/>
    <w:qFormat/>
    <w:uiPriority w:val="34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character" w:customStyle="1" w:styleId="38">
    <w:name w:val="Верхний колонтитул Знак"/>
    <w:basedOn w:val="11"/>
    <w:link w:val="16"/>
    <w:uiPriority w:val="99"/>
    <w:rPr>
      <w:rFonts w:ascii="Tms Rmn" w:hAnsi="Tms Rmn" w:eastAsia="Times New Roman" w:cs="Times New Roman"/>
      <w:sz w:val="20"/>
      <w:szCs w:val="20"/>
      <w:lang w:eastAsia="ru-RU"/>
    </w:rPr>
  </w:style>
  <w:style w:type="character" w:customStyle="1" w:styleId="39">
    <w:name w:val="Нижний колонтитул Знак"/>
    <w:basedOn w:val="11"/>
    <w:link w:val="1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0">
    <w:name w:val="Подзаголовок Знак"/>
    <w:basedOn w:val="11"/>
    <w:link w:val="19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41">
    <w:name w:val="Quote"/>
    <w:basedOn w:val="1"/>
    <w:next w:val="1"/>
    <w:link w:val="42"/>
    <w:qFormat/>
    <w:uiPriority w:val="29"/>
    <w:rPr>
      <w:i/>
      <w:iCs/>
      <w:color w:val="000000" w:themeColor="text1"/>
    </w:rPr>
  </w:style>
  <w:style w:type="character" w:customStyle="1" w:styleId="42">
    <w:name w:val="Цитата 2 Знак"/>
    <w:basedOn w:val="11"/>
    <w:link w:val="41"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43">
    <w:name w:val="Основной текст 2 Знак"/>
    <w:basedOn w:val="11"/>
    <w:link w:val="15"/>
    <w:uiPriority w:val="0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customStyle="1" w:styleId="44">
    <w:name w:val="Текст выноски Знак"/>
    <w:basedOn w:val="11"/>
    <w:link w:val="14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FF6B6-94D7-4A38-9DAF-C89D164331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17</Pages>
  <Words>4307</Words>
  <Characters>24554</Characters>
  <Lines>204</Lines>
  <Paragraphs>57</Paragraphs>
  <TotalTime>12</TotalTime>
  <ScaleCrop>false</ScaleCrop>
  <LinksUpToDate>false</LinksUpToDate>
  <CharactersWithSpaces>28804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2023-10-30T03:56:00Z</dcterms:created>
  <dc:creator>User</dc:creator>
  <cp:lastModifiedBy>Пользователь</cp:lastModifiedBy>
  <cp:lastPrinted>2024-04-22T01:42:37Z</cp:lastPrinted>
  <dcterms:modified xsi:type="dcterms:W3CDTF">2024-04-22T01:46:10Z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4BDA3477989E451DA772C59DF996F0B7_12</vt:lpwstr>
  </property>
</Properties>
</file>